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DE" w:rsidRDefault="00F371D0">
      <w:r>
        <w:rPr>
          <w:noProof/>
        </w:rPr>
        <w:drawing>
          <wp:inline distT="0" distB="0" distL="0" distR="0">
            <wp:extent cx="5943600" cy="513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A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D0" w:rsidRPr="000C727B" w:rsidRDefault="00F371D0" w:rsidP="00F371D0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362A">
        <w:rPr>
          <w:rFonts w:ascii="Times New Roman" w:hAnsi="Times New Roman" w:cs="Times New Roman"/>
          <w:smallCaps/>
          <w:sz w:val="24"/>
          <w:szCs w:val="24"/>
        </w:rPr>
        <w:t>Fig.</w:t>
      </w:r>
      <w:r w:rsidRPr="000C727B">
        <w:rPr>
          <w:rFonts w:ascii="Times New Roman" w:hAnsi="Times New Roman" w:cs="Times New Roman"/>
          <w:sz w:val="24"/>
          <w:szCs w:val="24"/>
        </w:rPr>
        <w:t xml:space="preserve"> A1. (A and B) Co + Ni + Cr and (C and D) ∑REE </w:t>
      </w:r>
      <w:r w:rsidRPr="000C727B">
        <w:rPr>
          <w:rFonts w:ascii="Times New Roman" w:hAnsi="Times New Roman" w:cs="Times New Roman"/>
          <w:i/>
          <w:sz w:val="24"/>
          <w:szCs w:val="24"/>
        </w:rPr>
        <w:t>versu</w:t>
      </w:r>
      <w:r w:rsidRPr="000C727B">
        <w:rPr>
          <w:rFonts w:ascii="Times New Roman" w:hAnsi="Times New Roman" w:cs="Times New Roman"/>
          <w:sz w:val="24"/>
          <w:szCs w:val="24"/>
        </w:rPr>
        <w:t xml:space="preserve">s Mg# for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antecrysts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xenocrysts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of olivine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cores, whole-rock (sectors) and matrix. Mg# = [Mg</w:t>
      </w:r>
      <w:proofErr w:type="gramStart"/>
      <w:r w:rsidRPr="000C727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0C727B">
        <w:rPr>
          <w:rFonts w:ascii="Times New Roman" w:hAnsi="Times New Roman" w:cs="Times New Roman"/>
          <w:sz w:val="24"/>
          <w:szCs w:val="24"/>
        </w:rPr>
        <w:t xml:space="preserve">Mg +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Fe</w:t>
      </w:r>
      <w:r w:rsidRPr="000C727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)] × 100, in terms of </w:t>
      </w:r>
      <w:proofErr w:type="spellStart"/>
      <w:r w:rsidRPr="000C727B">
        <w:rPr>
          <w:rFonts w:ascii="Times New Roman" w:hAnsi="Times New Roman" w:cs="Times New Roman"/>
          <w:i/>
          <w:sz w:val="24"/>
          <w:szCs w:val="24"/>
        </w:rPr>
        <w:t>apfu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for crystals, or [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>/(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FeO</w:t>
      </w:r>
      <w:r w:rsidRPr="000C727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)], in terms of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for whole rock and matrix. Data with ∑REE or Co + Ni + Cr equal to zero are analyses below the lower limit of determination. The diagrams show the influence of olivine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antecrysts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xenocrysts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(mainly represented by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megacryst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macrocryst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cores) on the composition of APG, SM-U, SM-PN, and SM-B, although diagrams A-D do not represent a mass balance approach. Cr + Ni + Co values of dike sectors richer in olivine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macrocrysts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(APG-C, SM-U-B2, </w:t>
      </w:r>
      <w:proofErr w:type="gramStart"/>
      <w:r w:rsidRPr="000C727B">
        <w:rPr>
          <w:rFonts w:ascii="Times New Roman" w:hAnsi="Times New Roman" w:cs="Times New Roman"/>
          <w:sz w:val="24"/>
          <w:szCs w:val="24"/>
        </w:rPr>
        <w:t>SM</w:t>
      </w:r>
      <w:proofErr w:type="gramEnd"/>
      <w:r w:rsidRPr="000C727B">
        <w:rPr>
          <w:rFonts w:ascii="Times New Roman" w:hAnsi="Times New Roman" w:cs="Times New Roman"/>
          <w:sz w:val="24"/>
          <w:szCs w:val="24"/>
        </w:rPr>
        <w:t xml:space="preserve">-B-C) are close to the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lastRenderedPageBreak/>
        <w:t>macrocryst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compositions. In basaltic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basanitic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systems, Cr, Co, and Ni can behave as compatible elements in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and olivine (Adam &amp; Green 2006,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Arzmastsev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r w:rsidRPr="000C727B">
        <w:rPr>
          <w:rFonts w:ascii="Times New Roman" w:hAnsi="Times New Roman" w:cs="Times New Roman"/>
          <w:i/>
          <w:sz w:val="24"/>
          <w:szCs w:val="24"/>
        </w:rPr>
        <w:t>et al</w:t>
      </w:r>
      <w:r w:rsidRPr="000C727B">
        <w:rPr>
          <w:rFonts w:ascii="Times New Roman" w:hAnsi="Times New Roman" w:cs="Times New Roman"/>
          <w:sz w:val="24"/>
          <w:szCs w:val="24"/>
        </w:rPr>
        <w:t xml:space="preserve">. 2009, </w:t>
      </w:r>
      <w:proofErr w:type="gramStart"/>
      <w:r w:rsidRPr="000C727B">
        <w:rPr>
          <w:rFonts w:ascii="Times New Roman" w:hAnsi="Times New Roman" w:cs="Times New Roman"/>
          <w:sz w:val="24"/>
          <w:szCs w:val="24"/>
        </w:rPr>
        <w:t>Foley</w:t>
      </w:r>
      <w:proofErr w:type="gram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r w:rsidRPr="000C727B">
        <w:rPr>
          <w:rFonts w:ascii="Times New Roman" w:hAnsi="Times New Roman" w:cs="Times New Roman"/>
          <w:i/>
          <w:sz w:val="24"/>
          <w:szCs w:val="24"/>
        </w:rPr>
        <w:t>et al</w:t>
      </w:r>
      <w:r w:rsidRPr="000C727B">
        <w:rPr>
          <w:rFonts w:ascii="Times New Roman" w:hAnsi="Times New Roman" w:cs="Times New Roman"/>
          <w:sz w:val="24"/>
          <w:szCs w:val="24"/>
        </w:rPr>
        <w:t xml:space="preserve">. 2011). Therefore, the higher the number of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antecrysts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xenocrysts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in the sector, the more similar whole-rock and foreign crystal compositions are. In the case of SM-PN, the whole-rock Cr + Ni + Co is similar to the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cpx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3 crystal and the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cpx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4 rim compositions (Table A5), which indicates that both crystals (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cpx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3 and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cpx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4 rim) and matrix crystallized from a melt with low abundances of Cr, Ni, and Cr. On the other hand, because of the incompatibility of REE in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(Adam &amp; Green 2006,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Arzmastsev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r w:rsidRPr="000C727B">
        <w:rPr>
          <w:rFonts w:ascii="Times New Roman" w:hAnsi="Times New Roman" w:cs="Times New Roman"/>
          <w:i/>
          <w:sz w:val="24"/>
          <w:szCs w:val="24"/>
        </w:rPr>
        <w:t>et al</w:t>
      </w:r>
      <w:r w:rsidRPr="000C727B">
        <w:rPr>
          <w:rFonts w:ascii="Times New Roman" w:hAnsi="Times New Roman" w:cs="Times New Roman"/>
          <w:sz w:val="24"/>
          <w:szCs w:val="24"/>
        </w:rPr>
        <w:t xml:space="preserve">. 2009, Foley </w:t>
      </w:r>
      <w:r w:rsidRPr="000C727B">
        <w:rPr>
          <w:rFonts w:ascii="Times New Roman" w:hAnsi="Times New Roman" w:cs="Times New Roman"/>
          <w:i/>
          <w:sz w:val="24"/>
          <w:szCs w:val="24"/>
        </w:rPr>
        <w:t>et al</w:t>
      </w:r>
      <w:r w:rsidRPr="000C727B">
        <w:rPr>
          <w:rFonts w:ascii="Times New Roman" w:hAnsi="Times New Roman" w:cs="Times New Roman"/>
          <w:sz w:val="24"/>
          <w:szCs w:val="24"/>
        </w:rPr>
        <w:t xml:space="preserve">. 2011), diagrams C and D show that dike sectors richer in olivine and/or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clinopyroxene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macrocrysts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are more depleted in REE than other sectors. In Figure A1 - C, the data of SM-U-C show ΣREE above 400 ppm. This result can be explained by this zone of the dike having a great number of ocelli. In general, matrix data are located far from the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macrocryst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compositions, showing once again </w:t>
      </w:r>
      <w:r w:rsidRPr="0055362A">
        <w:rPr>
          <w:rFonts w:ascii="Times New Roman" w:hAnsi="Times New Roman" w:cs="Times New Roman"/>
          <w:i/>
          <w:sz w:val="24"/>
          <w:szCs w:val="24"/>
        </w:rPr>
        <w:t>via</w:t>
      </w:r>
      <w:r w:rsidRPr="000C727B">
        <w:rPr>
          <w:rFonts w:ascii="Times New Roman" w:hAnsi="Times New Roman" w:cs="Times New Roman"/>
          <w:sz w:val="24"/>
          <w:szCs w:val="24"/>
        </w:rPr>
        <w:t xml:space="preserve"> this indirect approach the importance of 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antecryst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727B">
        <w:rPr>
          <w:rFonts w:ascii="Times New Roman" w:hAnsi="Times New Roman" w:cs="Times New Roman"/>
          <w:sz w:val="24"/>
          <w:szCs w:val="24"/>
        </w:rPr>
        <w:t>xenocryst</w:t>
      </w:r>
      <w:proofErr w:type="spellEnd"/>
      <w:r w:rsidRPr="000C727B">
        <w:rPr>
          <w:rFonts w:ascii="Times New Roman" w:hAnsi="Times New Roman" w:cs="Times New Roman"/>
          <w:sz w:val="24"/>
          <w:szCs w:val="24"/>
        </w:rPr>
        <w:t xml:space="preserve"> contents in the whole-rock composition.</w:t>
      </w:r>
    </w:p>
    <w:p w:rsidR="00F371D0" w:rsidRDefault="00F371D0"/>
    <w:sectPr w:rsidR="00F3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D0"/>
    <w:rsid w:val="008A18DE"/>
    <w:rsid w:val="00F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CE9A-7D32-43AE-BAD0-2A582ED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1</cp:revision>
  <dcterms:created xsi:type="dcterms:W3CDTF">2018-05-01T05:50:00Z</dcterms:created>
  <dcterms:modified xsi:type="dcterms:W3CDTF">2018-05-01T05:53:00Z</dcterms:modified>
</cp:coreProperties>
</file>