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9C" w:rsidRPr="001E54C7" w:rsidRDefault="0068209C" w:rsidP="0068209C">
      <w:pPr>
        <w:rPr>
          <w:b/>
          <w:bCs/>
        </w:rPr>
      </w:pPr>
      <w:bookmarkStart w:id="0" w:name="_Ref371371507"/>
      <w:bookmarkStart w:id="1" w:name="_Toc372035038"/>
      <w:bookmarkStart w:id="2" w:name="_Toc381043932"/>
      <w:r w:rsidRPr="001E54C7">
        <w:rPr>
          <w:b/>
          <w:bCs/>
        </w:rPr>
        <w:t>Table</w:t>
      </w:r>
      <w:bookmarkEnd w:id="0"/>
      <w:r>
        <w:rPr>
          <w:b/>
          <w:bCs/>
        </w:rPr>
        <w:t>.1</w:t>
      </w:r>
      <w:r w:rsidRPr="001E54C7">
        <w:rPr>
          <w:b/>
          <w:bCs/>
        </w:rPr>
        <w:t xml:space="preserve"> Detection limits for major and trace elements of the </w:t>
      </w:r>
      <w:proofErr w:type="spellStart"/>
      <w:r w:rsidRPr="001E54C7">
        <w:rPr>
          <w:b/>
          <w:bCs/>
        </w:rPr>
        <w:t>PANalytical</w:t>
      </w:r>
      <w:proofErr w:type="spellEnd"/>
      <w:r w:rsidRPr="001E54C7">
        <w:rPr>
          <w:b/>
          <w:bCs/>
        </w:rPr>
        <w:t xml:space="preserve"> PW2400 Sequential WDXRF Spectrometer.</w:t>
      </w:r>
      <w:bookmarkEnd w:id="1"/>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2312"/>
        <w:gridCol w:w="2311"/>
        <w:gridCol w:w="2312"/>
      </w:tblGrid>
      <w:tr w:rsidR="0068209C" w:rsidRPr="001E54C7" w:rsidTr="00A20C3A">
        <w:tc>
          <w:tcPr>
            <w:tcW w:w="2321" w:type="dxa"/>
            <w:tcBorders>
              <w:top w:val="single" w:sz="12" w:space="0" w:color="auto"/>
              <w:bottom w:val="single" w:sz="12" w:space="0" w:color="auto"/>
            </w:tcBorders>
          </w:tcPr>
          <w:p w:rsidR="0068209C" w:rsidRPr="001E54C7" w:rsidRDefault="0068209C" w:rsidP="00A20C3A">
            <w:pPr>
              <w:spacing w:after="200" w:line="276" w:lineRule="auto"/>
              <w:rPr>
                <w:b/>
                <w:lang w:val="en-US"/>
              </w:rPr>
            </w:pPr>
            <w:r w:rsidRPr="001E54C7">
              <w:rPr>
                <w:b/>
                <w:lang w:val="en-US"/>
              </w:rPr>
              <w:t>Major oxides</w:t>
            </w:r>
          </w:p>
        </w:tc>
        <w:tc>
          <w:tcPr>
            <w:tcW w:w="2322" w:type="dxa"/>
            <w:tcBorders>
              <w:top w:val="single" w:sz="12" w:space="0" w:color="auto"/>
              <w:bottom w:val="single" w:sz="12" w:space="0" w:color="auto"/>
            </w:tcBorders>
          </w:tcPr>
          <w:p w:rsidR="0068209C" w:rsidRPr="001E54C7" w:rsidRDefault="0068209C" w:rsidP="00A20C3A">
            <w:pPr>
              <w:spacing w:after="200" w:line="276" w:lineRule="auto"/>
              <w:rPr>
                <w:b/>
                <w:lang w:val="en-US"/>
              </w:rPr>
            </w:pPr>
            <w:r w:rsidRPr="001E54C7">
              <w:rPr>
                <w:b/>
                <w:lang w:val="en-US"/>
              </w:rPr>
              <w:t>Limits of Detection (ppm)</w:t>
            </w:r>
          </w:p>
        </w:tc>
        <w:tc>
          <w:tcPr>
            <w:tcW w:w="2322" w:type="dxa"/>
            <w:tcBorders>
              <w:top w:val="single" w:sz="12" w:space="0" w:color="auto"/>
              <w:bottom w:val="single" w:sz="12" w:space="0" w:color="auto"/>
            </w:tcBorders>
          </w:tcPr>
          <w:p w:rsidR="0068209C" w:rsidRPr="001E54C7" w:rsidRDefault="0068209C" w:rsidP="00A20C3A">
            <w:pPr>
              <w:spacing w:after="200" w:line="276" w:lineRule="auto"/>
              <w:rPr>
                <w:b/>
                <w:lang w:val="en-US"/>
              </w:rPr>
            </w:pPr>
            <w:r w:rsidRPr="001E54C7">
              <w:rPr>
                <w:b/>
                <w:lang w:val="en-US"/>
              </w:rPr>
              <w:t>Trace element</w:t>
            </w:r>
          </w:p>
        </w:tc>
        <w:tc>
          <w:tcPr>
            <w:tcW w:w="2322" w:type="dxa"/>
            <w:tcBorders>
              <w:top w:val="single" w:sz="12" w:space="0" w:color="auto"/>
              <w:bottom w:val="single" w:sz="12" w:space="0" w:color="auto"/>
            </w:tcBorders>
          </w:tcPr>
          <w:p w:rsidR="0068209C" w:rsidRPr="001E54C7" w:rsidRDefault="0068209C" w:rsidP="00A20C3A">
            <w:pPr>
              <w:spacing w:after="200" w:line="276" w:lineRule="auto"/>
              <w:rPr>
                <w:b/>
                <w:lang w:val="en-US"/>
              </w:rPr>
            </w:pPr>
            <w:r w:rsidRPr="001E54C7">
              <w:rPr>
                <w:b/>
                <w:lang w:val="en-US"/>
              </w:rPr>
              <w:t>Limits of detection (ppm)</w:t>
            </w:r>
          </w:p>
        </w:tc>
      </w:tr>
      <w:tr w:rsidR="0068209C" w:rsidRPr="001E54C7" w:rsidTr="00A20C3A">
        <w:tc>
          <w:tcPr>
            <w:tcW w:w="2321" w:type="dxa"/>
            <w:tcBorders>
              <w:top w:val="single" w:sz="12" w:space="0" w:color="auto"/>
            </w:tcBorders>
          </w:tcPr>
          <w:p w:rsidR="0068209C" w:rsidRPr="001E54C7" w:rsidRDefault="0068209C" w:rsidP="00A20C3A">
            <w:pPr>
              <w:spacing w:before="120" w:after="200" w:line="276" w:lineRule="auto"/>
              <w:rPr>
                <w:vertAlign w:val="subscript"/>
                <w:lang w:val="en-US"/>
              </w:rPr>
            </w:pPr>
            <w:r w:rsidRPr="001E54C7">
              <w:rPr>
                <w:lang w:val="en-US"/>
              </w:rPr>
              <w:t>SiO</w:t>
            </w:r>
            <w:r w:rsidRPr="001E54C7">
              <w:rPr>
                <w:vertAlign w:val="subscript"/>
                <w:lang w:val="en-US"/>
              </w:rPr>
              <w:t>2</w:t>
            </w:r>
          </w:p>
        </w:tc>
        <w:tc>
          <w:tcPr>
            <w:tcW w:w="2322" w:type="dxa"/>
            <w:tcBorders>
              <w:top w:val="single" w:sz="12" w:space="0" w:color="auto"/>
            </w:tcBorders>
          </w:tcPr>
          <w:p w:rsidR="0068209C" w:rsidRPr="001E54C7" w:rsidRDefault="0068209C" w:rsidP="00A20C3A">
            <w:pPr>
              <w:spacing w:before="120" w:after="200" w:line="276" w:lineRule="auto"/>
              <w:rPr>
                <w:lang w:val="en-US"/>
              </w:rPr>
            </w:pPr>
            <w:r w:rsidRPr="001E54C7">
              <w:rPr>
                <w:lang w:val="en-US"/>
              </w:rPr>
              <w:t>60</w:t>
            </w:r>
          </w:p>
        </w:tc>
        <w:tc>
          <w:tcPr>
            <w:tcW w:w="2322" w:type="dxa"/>
            <w:tcBorders>
              <w:top w:val="single" w:sz="12" w:space="0" w:color="auto"/>
            </w:tcBorders>
          </w:tcPr>
          <w:p w:rsidR="0068209C" w:rsidRPr="001E54C7" w:rsidRDefault="0068209C" w:rsidP="00A20C3A">
            <w:pPr>
              <w:spacing w:before="120" w:after="200" w:line="276" w:lineRule="auto"/>
              <w:rPr>
                <w:lang w:val="en-US"/>
              </w:rPr>
            </w:pPr>
            <w:r w:rsidRPr="001E54C7">
              <w:rPr>
                <w:lang w:val="en-US"/>
              </w:rPr>
              <w:t>As</w:t>
            </w:r>
          </w:p>
        </w:tc>
        <w:tc>
          <w:tcPr>
            <w:tcW w:w="2322" w:type="dxa"/>
            <w:tcBorders>
              <w:top w:val="single" w:sz="12" w:space="0" w:color="auto"/>
            </w:tcBorders>
          </w:tcPr>
          <w:p w:rsidR="0068209C" w:rsidRPr="001E54C7" w:rsidRDefault="0068209C" w:rsidP="00A20C3A">
            <w:pPr>
              <w:spacing w:before="120" w:after="200" w:line="276" w:lineRule="auto"/>
              <w:rPr>
                <w:lang w:val="en-US"/>
              </w:rPr>
            </w:pPr>
            <w:r w:rsidRPr="001E54C7">
              <w:rPr>
                <w:lang w:val="en-US"/>
              </w:rPr>
              <w:t>2.5</w:t>
            </w:r>
          </w:p>
        </w:tc>
      </w:tr>
      <w:tr w:rsidR="0068209C" w:rsidRPr="001E54C7" w:rsidTr="00A20C3A">
        <w:tc>
          <w:tcPr>
            <w:tcW w:w="2321" w:type="dxa"/>
          </w:tcPr>
          <w:p w:rsidR="0068209C" w:rsidRPr="001E54C7" w:rsidRDefault="0068209C" w:rsidP="00A20C3A">
            <w:pPr>
              <w:spacing w:after="200" w:line="276" w:lineRule="auto"/>
              <w:rPr>
                <w:vertAlign w:val="subscript"/>
                <w:lang w:val="en-US"/>
              </w:rPr>
            </w:pPr>
            <w:r w:rsidRPr="001E54C7">
              <w:rPr>
                <w:lang w:val="en-US"/>
              </w:rPr>
              <w:t>TiO</w:t>
            </w:r>
            <w:r w:rsidRPr="001E54C7">
              <w:rPr>
                <w:vertAlign w:val="subscript"/>
                <w:lang w:val="en-US"/>
              </w:rPr>
              <w:t>2</w:t>
            </w:r>
          </w:p>
        </w:tc>
        <w:tc>
          <w:tcPr>
            <w:tcW w:w="2322" w:type="dxa"/>
          </w:tcPr>
          <w:p w:rsidR="0068209C" w:rsidRPr="001E54C7" w:rsidRDefault="0068209C" w:rsidP="00A20C3A">
            <w:pPr>
              <w:spacing w:after="200" w:line="276" w:lineRule="auto"/>
              <w:rPr>
                <w:lang w:val="en-US"/>
              </w:rPr>
            </w:pPr>
            <w:r w:rsidRPr="001E54C7">
              <w:rPr>
                <w:lang w:val="en-US"/>
              </w:rPr>
              <w:t>57</w:t>
            </w:r>
          </w:p>
        </w:tc>
        <w:tc>
          <w:tcPr>
            <w:tcW w:w="2322" w:type="dxa"/>
          </w:tcPr>
          <w:p w:rsidR="0068209C" w:rsidRPr="001E54C7" w:rsidRDefault="0068209C" w:rsidP="00A20C3A">
            <w:pPr>
              <w:spacing w:after="200" w:line="276" w:lineRule="auto"/>
              <w:rPr>
                <w:lang w:val="en-US"/>
              </w:rPr>
            </w:pPr>
            <w:r w:rsidRPr="001E54C7">
              <w:rPr>
                <w:lang w:val="en-US"/>
              </w:rPr>
              <w:t>Ba</w:t>
            </w:r>
          </w:p>
        </w:tc>
        <w:tc>
          <w:tcPr>
            <w:tcW w:w="2322" w:type="dxa"/>
          </w:tcPr>
          <w:p w:rsidR="0068209C" w:rsidRPr="001E54C7" w:rsidRDefault="0068209C" w:rsidP="00A20C3A">
            <w:pPr>
              <w:spacing w:after="200" w:line="276" w:lineRule="auto"/>
              <w:rPr>
                <w:lang w:val="en-US"/>
              </w:rPr>
            </w:pPr>
            <w:r w:rsidRPr="001E54C7">
              <w:rPr>
                <w:lang w:val="en-US"/>
              </w:rPr>
              <w:t>8.0</w:t>
            </w:r>
          </w:p>
        </w:tc>
      </w:tr>
      <w:tr w:rsidR="0068209C" w:rsidRPr="001E54C7" w:rsidTr="00A20C3A">
        <w:tc>
          <w:tcPr>
            <w:tcW w:w="2321" w:type="dxa"/>
          </w:tcPr>
          <w:p w:rsidR="0068209C" w:rsidRPr="001E54C7" w:rsidRDefault="0068209C" w:rsidP="00A20C3A">
            <w:pPr>
              <w:spacing w:after="200" w:line="276" w:lineRule="auto"/>
              <w:rPr>
                <w:vertAlign w:val="subscript"/>
                <w:lang w:val="en-US"/>
              </w:rPr>
            </w:pPr>
            <w:r w:rsidRPr="001E54C7">
              <w:rPr>
                <w:lang w:val="en-US"/>
              </w:rPr>
              <w:t>Al</w:t>
            </w:r>
            <w:r w:rsidRPr="001E54C7">
              <w:rPr>
                <w:vertAlign w:val="subscript"/>
                <w:lang w:val="en-US"/>
              </w:rPr>
              <w:t>2</w:t>
            </w:r>
            <w:r w:rsidRPr="001E54C7">
              <w:rPr>
                <w:lang w:val="en-US"/>
              </w:rPr>
              <w:t>O</w:t>
            </w:r>
            <w:r w:rsidRPr="001E54C7">
              <w:rPr>
                <w:vertAlign w:val="subscript"/>
                <w:lang w:val="en-US"/>
              </w:rPr>
              <w:t>3</w:t>
            </w:r>
          </w:p>
        </w:tc>
        <w:tc>
          <w:tcPr>
            <w:tcW w:w="2322" w:type="dxa"/>
          </w:tcPr>
          <w:p w:rsidR="0068209C" w:rsidRPr="001E54C7" w:rsidRDefault="0068209C" w:rsidP="00A20C3A">
            <w:pPr>
              <w:spacing w:after="200" w:line="276" w:lineRule="auto"/>
              <w:rPr>
                <w:lang w:val="en-US"/>
              </w:rPr>
            </w:pPr>
            <w:r w:rsidRPr="001E54C7">
              <w:rPr>
                <w:lang w:val="en-US"/>
              </w:rPr>
              <w:t>59</w:t>
            </w:r>
          </w:p>
        </w:tc>
        <w:tc>
          <w:tcPr>
            <w:tcW w:w="2322" w:type="dxa"/>
          </w:tcPr>
          <w:p w:rsidR="0068209C" w:rsidRPr="001E54C7" w:rsidRDefault="0068209C" w:rsidP="00A20C3A">
            <w:pPr>
              <w:spacing w:after="200" w:line="276" w:lineRule="auto"/>
              <w:rPr>
                <w:lang w:val="en-US"/>
              </w:rPr>
            </w:pPr>
            <w:r w:rsidRPr="001E54C7">
              <w:rPr>
                <w:lang w:val="en-US"/>
              </w:rPr>
              <w:t>Cd</w:t>
            </w:r>
          </w:p>
        </w:tc>
        <w:tc>
          <w:tcPr>
            <w:tcW w:w="2322" w:type="dxa"/>
          </w:tcPr>
          <w:p w:rsidR="0068209C" w:rsidRPr="001E54C7" w:rsidRDefault="0068209C" w:rsidP="00A20C3A">
            <w:pPr>
              <w:spacing w:after="200" w:line="276" w:lineRule="auto"/>
              <w:rPr>
                <w:lang w:val="en-US"/>
              </w:rPr>
            </w:pPr>
            <w:r w:rsidRPr="001E54C7">
              <w:rPr>
                <w:lang w:val="en-US"/>
              </w:rPr>
              <w:t>15.4</w:t>
            </w:r>
          </w:p>
        </w:tc>
      </w:tr>
      <w:tr w:rsidR="0068209C" w:rsidRPr="001E54C7" w:rsidTr="00A20C3A">
        <w:tc>
          <w:tcPr>
            <w:tcW w:w="2321" w:type="dxa"/>
          </w:tcPr>
          <w:p w:rsidR="0068209C" w:rsidRPr="001E54C7" w:rsidRDefault="0068209C" w:rsidP="00A20C3A">
            <w:pPr>
              <w:spacing w:after="200" w:line="276" w:lineRule="auto"/>
              <w:rPr>
                <w:vertAlign w:val="subscript"/>
                <w:lang w:val="en-US"/>
              </w:rPr>
            </w:pPr>
            <w:r w:rsidRPr="001E54C7">
              <w:rPr>
                <w:lang w:val="en-US"/>
              </w:rPr>
              <w:t>Fe</w:t>
            </w:r>
            <w:r w:rsidRPr="001E54C7">
              <w:rPr>
                <w:vertAlign w:val="subscript"/>
                <w:lang w:val="en-US"/>
              </w:rPr>
              <w:t>2</w:t>
            </w:r>
            <w:r w:rsidRPr="001E54C7">
              <w:rPr>
                <w:lang w:val="en-US"/>
              </w:rPr>
              <w:t>O</w:t>
            </w:r>
            <w:r w:rsidRPr="001E54C7">
              <w:rPr>
                <w:vertAlign w:val="subscript"/>
                <w:lang w:val="en-US"/>
              </w:rPr>
              <w:t>3</w:t>
            </w:r>
          </w:p>
        </w:tc>
        <w:tc>
          <w:tcPr>
            <w:tcW w:w="2322" w:type="dxa"/>
          </w:tcPr>
          <w:p w:rsidR="0068209C" w:rsidRPr="001E54C7" w:rsidRDefault="0068209C" w:rsidP="00A20C3A">
            <w:pPr>
              <w:spacing w:after="200" w:line="276" w:lineRule="auto"/>
              <w:rPr>
                <w:lang w:val="en-US"/>
              </w:rPr>
            </w:pPr>
            <w:r w:rsidRPr="001E54C7">
              <w:rPr>
                <w:lang w:val="en-US"/>
              </w:rPr>
              <w:t>43</w:t>
            </w:r>
          </w:p>
        </w:tc>
        <w:tc>
          <w:tcPr>
            <w:tcW w:w="2322" w:type="dxa"/>
          </w:tcPr>
          <w:p w:rsidR="0068209C" w:rsidRPr="001E54C7" w:rsidRDefault="0068209C" w:rsidP="00A20C3A">
            <w:pPr>
              <w:spacing w:after="200" w:line="276" w:lineRule="auto"/>
              <w:rPr>
                <w:lang w:val="en-US"/>
              </w:rPr>
            </w:pPr>
            <w:r w:rsidRPr="001E54C7">
              <w:rPr>
                <w:lang w:val="en-US"/>
              </w:rPr>
              <w:t>Co</w:t>
            </w:r>
          </w:p>
        </w:tc>
        <w:tc>
          <w:tcPr>
            <w:tcW w:w="2322" w:type="dxa"/>
          </w:tcPr>
          <w:p w:rsidR="0068209C" w:rsidRPr="001E54C7" w:rsidRDefault="0068209C" w:rsidP="00A20C3A">
            <w:pPr>
              <w:spacing w:after="200" w:line="276" w:lineRule="auto"/>
              <w:rPr>
                <w:lang w:val="en-US"/>
              </w:rPr>
            </w:pPr>
            <w:r w:rsidRPr="001E54C7">
              <w:rPr>
                <w:lang w:val="en-US"/>
              </w:rPr>
              <w:t>2.9</w:t>
            </w:r>
          </w:p>
        </w:tc>
      </w:tr>
      <w:tr w:rsidR="0068209C" w:rsidRPr="001E54C7" w:rsidTr="00A20C3A">
        <w:tc>
          <w:tcPr>
            <w:tcW w:w="2321" w:type="dxa"/>
          </w:tcPr>
          <w:p w:rsidR="0068209C" w:rsidRPr="001E54C7" w:rsidRDefault="0068209C" w:rsidP="00A20C3A">
            <w:pPr>
              <w:spacing w:after="200" w:line="276" w:lineRule="auto"/>
              <w:rPr>
                <w:lang w:val="en-US"/>
              </w:rPr>
            </w:pPr>
            <w:proofErr w:type="spellStart"/>
            <w:r w:rsidRPr="001E54C7">
              <w:rPr>
                <w:lang w:val="en-US"/>
              </w:rPr>
              <w:t>MgO</w:t>
            </w:r>
            <w:proofErr w:type="spellEnd"/>
          </w:p>
        </w:tc>
        <w:tc>
          <w:tcPr>
            <w:tcW w:w="2322" w:type="dxa"/>
          </w:tcPr>
          <w:p w:rsidR="0068209C" w:rsidRPr="001E54C7" w:rsidRDefault="0068209C" w:rsidP="00A20C3A">
            <w:pPr>
              <w:spacing w:after="200" w:line="276" w:lineRule="auto"/>
              <w:rPr>
                <w:lang w:val="en-US"/>
              </w:rPr>
            </w:pPr>
            <w:r w:rsidRPr="001E54C7">
              <w:rPr>
                <w:lang w:val="en-US"/>
              </w:rPr>
              <w:t>53</w:t>
            </w:r>
          </w:p>
        </w:tc>
        <w:tc>
          <w:tcPr>
            <w:tcW w:w="2322" w:type="dxa"/>
          </w:tcPr>
          <w:p w:rsidR="0068209C" w:rsidRPr="001E54C7" w:rsidRDefault="0068209C" w:rsidP="00A20C3A">
            <w:pPr>
              <w:spacing w:after="200" w:line="276" w:lineRule="auto"/>
              <w:rPr>
                <w:lang w:val="en-US"/>
              </w:rPr>
            </w:pPr>
            <w:r w:rsidRPr="001E54C7">
              <w:rPr>
                <w:lang w:val="en-US"/>
              </w:rPr>
              <w:t>Cr</w:t>
            </w:r>
          </w:p>
        </w:tc>
        <w:tc>
          <w:tcPr>
            <w:tcW w:w="2322" w:type="dxa"/>
          </w:tcPr>
          <w:p w:rsidR="0068209C" w:rsidRPr="001E54C7" w:rsidRDefault="0068209C" w:rsidP="00A20C3A">
            <w:pPr>
              <w:spacing w:after="200" w:line="276" w:lineRule="auto"/>
              <w:rPr>
                <w:lang w:val="en-US"/>
              </w:rPr>
            </w:pPr>
            <w:r w:rsidRPr="001E54C7">
              <w:rPr>
                <w:lang w:val="en-US"/>
              </w:rPr>
              <w:t>2.9</w:t>
            </w:r>
          </w:p>
        </w:tc>
      </w:tr>
      <w:tr w:rsidR="0068209C" w:rsidRPr="001E54C7" w:rsidTr="00A20C3A">
        <w:tc>
          <w:tcPr>
            <w:tcW w:w="2321" w:type="dxa"/>
          </w:tcPr>
          <w:p w:rsidR="0068209C" w:rsidRPr="001E54C7" w:rsidRDefault="0068209C" w:rsidP="00A20C3A">
            <w:pPr>
              <w:spacing w:after="200" w:line="276" w:lineRule="auto"/>
              <w:rPr>
                <w:lang w:val="en-US"/>
              </w:rPr>
            </w:pPr>
            <w:proofErr w:type="spellStart"/>
            <w:r w:rsidRPr="001E54C7">
              <w:rPr>
                <w:lang w:val="en-US"/>
              </w:rPr>
              <w:t>CaO</w:t>
            </w:r>
            <w:proofErr w:type="spellEnd"/>
          </w:p>
        </w:tc>
        <w:tc>
          <w:tcPr>
            <w:tcW w:w="2322" w:type="dxa"/>
          </w:tcPr>
          <w:p w:rsidR="0068209C" w:rsidRPr="001E54C7" w:rsidRDefault="0068209C" w:rsidP="00A20C3A">
            <w:pPr>
              <w:spacing w:after="200" w:line="276" w:lineRule="auto"/>
              <w:rPr>
                <w:lang w:val="en-US"/>
              </w:rPr>
            </w:pPr>
            <w:r w:rsidRPr="001E54C7">
              <w:rPr>
                <w:lang w:val="en-US"/>
              </w:rPr>
              <w:t>45</w:t>
            </w:r>
          </w:p>
        </w:tc>
        <w:tc>
          <w:tcPr>
            <w:tcW w:w="2322" w:type="dxa"/>
          </w:tcPr>
          <w:p w:rsidR="0068209C" w:rsidRPr="001E54C7" w:rsidRDefault="0068209C" w:rsidP="00A20C3A">
            <w:pPr>
              <w:spacing w:after="200" w:line="276" w:lineRule="auto"/>
              <w:rPr>
                <w:lang w:val="en-US"/>
              </w:rPr>
            </w:pPr>
            <w:r w:rsidRPr="001E54C7">
              <w:rPr>
                <w:lang w:val="en-US"/>
              </w:rPr>
              <w:t>Cu</w:t>
            </w:r>
          </w:p>
        </w:tc>
        <w:tc>
          <w:tcPr>
            <w:tcW w:w="2322" w:type="dxa"/>
          </w:tcPr>
          <w:p w:rsidR="0068209C" w:rsidRPr="001E54C7" w:rsidRDefault="0068209C" w:rsidP="00A20C3A">
            <w:pPr>
              <w:spacing w:after="200" w:line="276" w:lineRule="auto"/>
              <w:rPr>
                <w:lang w:val="en-US"/>
              </w:rPr>
            </w:pPr>
            <w:r w:rsidRPr="001E54C7">
              <w:rPr>
                <w:lang w:val="en-US"/>
              </w:rPr>
              <w:t>2.0</w:t>
            </w:r>
          </w:p>
        </w:tc>
      </w:tr>
      <w:tr w:rsidR="0068209C" w:rsidRPr="001E54C7" w:rsidTr="00A20C3A">
        <w:tc>
          <w:tcPr>
            <w:tcW w:w="2321" w:type="dxa"/>
          </w:tcPr>
          <w:p w:rsidR="0068209C" w:rsidRPr="001E54C7" w:rsidRDefault="0068209C" w:rsidP="00A20C3A">
            <w:pPr>
              <w:spacing w:after="200" w:line="276" w:lineRule="auto"/>
              <w:rPr>
                <w:vertAlign w:val="subscript"/>
                <w:lang w:val="en-US"/>
              </w:rPr>
            </w:pPr>
            <w:r w:rsidRPr="001E54C7">
              <w:rPr>
                <w:lang w:val="en-US"/>
              </w:rPr>
              <w:t>Mn</w:t>
            </w:r>
            <w:r w:rsidRPr="001E54C7">
              <w:rPr>
                <w:vertAlign w:val="subscript"/>
                <w:lang w:val="en-US"/>
              </w:rPr>
              <w:t>3</w:t>
            </w:r>
            <w:r w:rsidRPr="001E54C7">
              <w:rPr>
                <w:lang w:val="en-US"/>
              </w:rPr>
              <w:t>O</w:t>
            </w:r>
            <w:r w:rsidRPr="001E54C7">
              <w:rPr>
                <w:vertAlign w:val="subscript"/>
                <w:lang w:val="en-US"/>
              </w:rPr>
              <w:t>4</w:t>
            </w:r>
          </w:p>
        </w:tc>
        <w:tc>
          <w:tcPr>
            <w:tcW w:w="2322" w:type="dxa"/>
          </w:tcPr>
          <w:p w:rsidR="0068209C" w:rsidRPr="001E54C7" w:rsidRDefault="0068209C" w:rsidP="00A20C3A">
            <w:pPr>
              <w:spacing w:after="200" w:line="276" w:lineRule="auto"/>
              <w:rPr>
                <w:lang w:val="en-US"/>
              </w:rPr>
            </w:pPr>
            <w:r w:rsidRPr="001E54C7">
              <w:rPr>
                <w:lang w:val="en-US"/>
              </w:rPr>
              <w:t>35</w:t>
            </w:r>
          </w:p>
        </w:tc>
        <w:tc>
          <w:tcPr>
            <w:tcW w:w="2322" w:type="dxa"/>
          </w:tcPr>
          <w:p w:rsidR="0068209C" w:rsidRPr="001E54C7" w:rsidRDefault="0068209C" w:rsidP="00A20C3A">
            <w:pPr>
              <w:spacing w:after="200" w:line="276" w:lineRule="auto"/>
              <w:rPr>
                <w:lang w:val="en-US"/>
              </w:rPr>
            </w:pPr>
            <w:r w:rsidRPr="001E54C7">
              <w:rPr>
                <w:lang w:val="en-US"/>
              </w:rPr>
              <w:t>Ga</w:t>
            </w:r>
          </w:p>
        </w:tc>
        <w:tc>
          <w:tcPr>
            <w:tcW w:w="2322" w:type="dxa"/>
          </w:tcPr>
          <w:p w:rsidR="0068209C" w:rsidRPr="001E54C7" w:rsidRDefault="0068209C" w:rsidP="00A20C3A">
            <w:pPr>
              <w:spacing w:after="200" w:line="276" w:lineRule="auto"/>
              <w:rPr>
                <w:lang w:val="en-US"/>
              </w:rPr>
            </w:pPr>
            <w:r w:rsidRPr="001E54C7">
              <w:rPr>
                <w:lang w:val="en-US"/>
              </w:rPr>
              <w:t>1.0</w:t>
            </w:r>
          </w:p>
        </w:tc>
      </w:tr>
      <w:tr w:rsidR="0068209C" w:rsidRPr="001E54C7" w:rsidTr="00A20C3A">
        <w:tc>
          <w:tcPr>
            <w:tcW w:w="2321" w:type="dxa"/>
          </w:tcPr>
          <w:p w:rsidR="0068209C" w:rsidRPr="001E54C7" w:rsidRDefault="0068209C" w:rsidP="00A20C3A">
            <w:pPr>
              <w:spacing w:after="200" w:line="276" w:lineRule="auto"/>
              <w:rPr>
                <w:lang w:val="en-US"/>
              </w:rPr>
            </w:pPr>
            <w:r w:rsidRPr="001E54C7">
              <w:rPr>
                <w:lang w:val="en-US"/>
              </w:rPr>
              <w:t>Na</w:t>
            </w:r>
            <w:r w:rsidRPr="001E54C7">
              <w:rPr>
                <w:vertAlign w:val="subscript"/>
                <w:lang w:val="en-US"/>
              </w:rPr>
              <w:t>2</w:t>
            </w:r>
            <w:r w:rsidRPr="001E54C7">
              <w:rPr>
                <w:lang w:val="en-US"/>
              </w:rPr>
              <w:t>O</w:t>
            </w:r>
          </w:p>
        </w:tc>
        <w:tc>
          <w:tcPr>
            <w:tcW w:w="2322" w:type="dxa"/>
          </w:tcPr>
          <w:p w:rsidR="0068209C" w:rsidRPr="001E54C7" w:rsidRDefault="0068209C" w:rsidP="00A20C3A">
            <w:pPr>
              <w:spacing w:after="200" w:line="276" w:lineRule="auto"/>
              <w:rPr>
                <w:lang w:val="en-US"/>
              </w:rPr>
            </w:pPr>
            <w:r w:rsidRPr="001E54C7">
              <w:rPr>
                <w:lang w:val="en-US"/>
              </w:rPr>
              <w:t>60</w:t>
            </w:r>
          </w:p>
        </w:tc>
        <w:tc>
          <w:tcPr>
            <w:tcW w:w="2322" w:type="dxa"/>
          </w:tcPr>
          <w:p w:rsidR="0068209C" w:rsidRPr="001E54C7" w:rsidRDefault="0068209C" w:rsidP="00A20C3A">
            <w:pPr>
              <w:spacing w:after="200" w:line="276" w:lineRule="auto"/>
              <w:rPr>
                <w:lang w:val="en-US"/>
              </w:rPr>
            </w:pPr>
            <w:r w:rsidRPr="001E54C7">
              <w:rPr>
                <w:lang w:val="en-US"/>
              </w:rPr>
              <w:t>Mo</w:t>
            </w:r>
          </w:p>
        </w:tc>
        <w:tc>
          <w:tcPr>
            <w:tcW w:w="2322" w:type="dxa"/>
          </w:tcPr>
          <w:p w:rsidR="0068209C" w:rsidRPr="001E54C7" w:rsidRDefault="0068209C" w:rsidP="00A20C3A">
            <w:pPr>
              <w:spacing w:after="200" w:line="276" w:lineRule="auto"/>
              <w:rPr>
                <w:lang w:val="en-US"/>
              </w:rPr>
            </w:pPr>
            <w:r w:rsidRPr="001E54C7">
              <w:rPr>
                <w:lang w:val="en-US"/>
              </w:rPr>
              <w:t>1.8</w:t>
            </w:r>
          </w:p>
        </w:tc>
      </w:tr>
      <w:tr w:rsidR="0068209C" w:rsidRPr="001E54C7" w:rsidTr="00A20C3A">
        <w:tc>
          <w:tcPr>
            <w:tcW w:w="2321" w:type="dxa"/>
          </w:tcPr>
          <w:p w:rsidR="0068209C" w:rsidRPr="001E54C7" w:rsidRDefault="0068209C" w:rsidP="00A20C3A">
            <w:pPr>
              <w:spacing w:after="200" w:line="276" w:lineRule="auto"/>
              <w:rPr>
                <w:lang w:val="en-US"/>
              </w:rPr>
            </w:pPr>
            <w:r w:rsidRPr="001E54C7">
              <w:rPr>
                <w:lang w:val="en-US"/>
              </w:rPr>
              <w:t>K</w:t>
            </w:r>
            <w:r w:rsidRPr="001E54C7">
              <w:rPr>
                <w:vertAlign w:val="subscript"/>
                <w:lang w:val="en-US"/>
              </w:rPr>
              <w:t>2</w:t>
            </w:r>
            <w:r w:rsidRPr="001E54C7">
              <w:rPr>
                <w:lang w:val="en-US"/>
              </w:rPr>
              <w:t>O</w:t>
            </w:r>
          </w:p>
        </w:tc>
        <w:tc>
          <w:tcPr>
            <w:tcW w:w="2322" w:type="dxa"/>
          </w:tcPr>
          <w:p w:rsidR="0068209C" w:rsidRPr="001E54C7" w:rsidRDefault="0068209C" w:rsidP="00A20C3A">
            <w:pPr>
              <w:spacing w:after="200" w:line="276" w:lineRule="auto"/>
              <w:rPr>
                <w:lang w:val="en-US"/>
              </w:rPr>
            </w:pPr>
            <w:r w:rsidRPr="001E54C7">
              <w:rPr>
                <w:lang w:val="en-US"/>
              </w:rPr>
              <w:t>39</w:t>
            </w:r>
          </w:p>
        </w:tc>
        <w:tc>
          <w:tcPr>
            <w:tcW w:w="2322" w:type="dxa"/>
          </w:tcPr>
          <w:p w:rsidR="0068209C" w:rsidRPr="001E54C7" w:rsidRDefault="0068209C" w:rsidP="00A20C3A">
            <w:pPr>
              <w:spacing w:after="200" w:line="276" w:lineRule="auto"/>
              <w:rPr>
                <w:lang w:val="en-US"/>
              </w:rPr>
            </w:pPr>
            <w:proofErr w:type="spellStart"/>
            <w:r w:rsidRPr="001E54C7">
              <w:rPr>
                <w:lang w:val="en-US"/>
              </w:rPr>
              <w:t>Nb</w:t>
            </w:r>
            <w:proofErr w:type="spellEnd"/>
          </w:p>
        </w:tc>
        <w:tc>
          <w:tcPr>
            <w:tcW w:w="2322" w:type="dxa"/>
          </w:tcPr>
          <w:p w:rsidR="0068209C" w:rsidRPr="001E54C7" w:rsidRDefault="0068209C" w:rsidP="00A20C3A">
            <w:pPr>
              <w:spacing w:after="200" w:line="276" w:lineRule="auto"/>
              <w:rPr>
                <w:lang w:val="en-US"/>
              </w:rPr>
            </w:pPr>
            <w:r w:rsidRPr="001E54C7">
              <w:rPr>
                <w:lang w:val="en-US"/>
              </w:rPr>
              <w:t>1.0</w:t>
            </w:r>
          </w:p>
        </w:tc>
      </w:tr>
      <w:tr w:rsidR="0068209C" w:rsidRPr="001E54C7" w:rsidTr="00A20C3A">
        <w:tc>
          <w:tcPr>
            <w:tcW w:w="2321" w:type="dxa"/>
          </w:tcPr>
          <w:p w:rsidR="0068209C" w:rsidRPr="001E54C7" w:rsidRDefault="0068209C" w:rsidP="00A20C3A">
            <w:pPr>
              <w:spacing w:after="200" w:line="276" w:lineRule="auto"/>
              <w:rPr>
                <w:vertAlign w:val="subscript"/>
                <w:lang w:val="en-US"/>
              </w:rPr>
            </w:pPr>
            <w:r w:rsidRPr="001E54C7">
              <w:rPr>
                <w:lang w:val="en-US"/>
              </w:rPr>
              <w:t>P</w:t>
            </w:r>
            <w:r w:rsidRPr="001E54C7">
              <w:rPr>
                <w:vertAlign w:val="subscript"/>
                <w:lang w:val="en-US"/>
              </w:rPr>
              <w:t>2</w:t>
            </w:r>
            <w:r w:rsidRPr="001E54C7">
              <w:rPr>
                <w:lang w:val="en-US"/>
              </w:rPr>
              <w:t>O</w:t>
            </w:r>
            <w:r w:rsidRPr="001E54C7">
              <w:rPr>
                <w:vertAlign w:val="subscript"/>
                <w:lang w:val="en-US"/>
              </w:rPr>
              <w:t>5</w:t>
            </w:r>
          </w:p>
        </w:tc>
        <w:tc>
          <w:tcPr>
            <w:tcW w:w="2322" w:type="dxa"/>
          </w:tcPr>
          <w:p w:rsidR="0068209C" w:rsidRPr="001E54C7" w:rsidRDefault="0068209C" w:rsidP="00A20C3A">
            <w:pPr>
              <w:spacing w:after="200" w:line="276" w:lineRule="auto"/>
              <w:rPr>
                <w:lang w:val="en-US"/>
              </w:rPr>
            </w:pPr>
            <w:r w:rsidRPr="001E54C7">
              <w:rPr>
                <w:lang w:val="en-US"/>
              </w:rPr>
              <w:t>27</w:t>
            </w:r>
          </w:p>
        </w:tc>
        <w:tc>
          <w:tcPr>
            <w:tcW w:w="2322" w:type="dxa"/>
          </w:tcPr>
          <w:p w:rsidR="0068209C" w:rsidRPr="001E54C7" w:rsidRDefault="0068209C" w:rsidP="00A20C3A">
            <w:pPr>
              <w:spacing w:after="200" w:line="276" w:lineRule="auto"/>
              <w:rPr>
                <w:lang w:val="en-US"/>
              </w:rPr>
            </w:pPr>
            <w:r w:rsidRPr="001E54C7">
              <w:rPr>
                <w:lang w:val="en-US"/>
              </w:rPr>
              <w:t>Ni</w:t>
            </w:r>
          </w:p>
        </w:tc>
        <w:tc>
          <w:tcPr>
            <w:tcW w:w="2322" w:type="dxa"/>
          </w:tcPr>
          <w:p w:rsidR="0068209C" w:rsidRPr="001E54C7" w:rsidRDefault="0068209C" w:rsidP="00A20C3A">
            <w:pPr>
              <w:spacing w:after="200" w:line="276" w:lineRule="auto"/>
              <w:rPr>
                <w:lang w:val="en-US"/>
              </w:rPr>
            </w:pPr>
            <w:r w:rsidRPr="001E54C7">
              <w:rPr>
                <w:lang w:val="en-US"/>
              </w:rPr>
              <w:t>2.0</w:t>
            </w:r>
          </w:p>
        </w:tc>
      </w:tr>
      <w:tr w:rsidR="0068209C" w:rsidRPr="001E54C7" w:rsidTr="00A20C3A">
        <w:tc>
          <w:tcPr>
            <w:tcW w:w="2321" w:type="dxa"/>
          </w:tcPr>
          <w:p w:rsidR="0068209C" w:rsidRPr="001E54C7" w:rsidRDefault="0068209C" w:rsidP="00A20C3A">
            <w:pPr>
              <w:spacing w:after="200" w:line="276" w:lineRule="auto"/>
              <w:rPr>
                <w:vertAlign w:val="subscript"/>
                <w:lang w:val="en-US"/>
              </w:rPr>
            </w:pPr>
            <w:r w:rsidRPr="001E54C7">
              <w:rPr>
                <w:lang w:val="en-US"/>
              </w:rPr>
              <w:t>SO</w:t>
            </w:r>
            <w:r w:rsidRPr="001E54C7">
              <w:rPr>
                <w:vertAlign w:val="subscript"/>
                <w:lang w:val="en-US"/>
              </w:rPr>
              <w:t>3</w:t>
            </w:r>
          </w:p>
        </w:tc>
        <w:tc>
          <w:tcPr>
            <w:tcW w:w="2322" w:type="dxa"/>
          </w:tcPr>
          <w:p w:rsidR="0068209C" w:rsidRPr="001E54C7" w:rsidRDefault="0068209C" w:rsidP="00A20C3A">
            <w:pPr>
              <w:spacing w:after="200" w:line="276" w:lineRule="auto"/>
              <w:rPr>
                <w:lang w:val="en-US"/>
              </w:rPr>
            </w:pPr>
            <w:r w:rsidRPr="001E54C7">
              <w:rPr>
                <w:lang w:val="en-US"/>
              </w:rPr>
              <w:t>55</w:t>
            </w:r>
          </w:p>
        </w:tc>
        <w:tc>
          <w:tcPr>
            <w:tcW w:w="2322" w:type="dxa"/>
          </w:tcPr>
          <w:p w:rsidR="0068209C" w:rsidRPr="001E54C7" w:rsidRDefault="0068209C" w:rsidP="00A20C3A">
            <w:pPr>
              <w:spacing w:after="200" w:line="276" w:lineRule="auto"/>
              <w:rPr>
                <w:lang w:val="en-US"/>
              </w:rPr>
            </w:pPr>
            <w:proofErr w:type="spellStart"/>
            <w:r w:rsidRPr="001E54C7">
              <w:rPr>
                <w:lang w:val="en-US"/>
              </w:rPr>
              <w:t>Pb</w:t>
            </w:r>
            <w:proofErr w:type="spellEnd"/>
          </w:p>
        </w:tc>
        <w:tc>
          <w:tcPr>
            <w:tcW w:w="2322" w:type="dxa"/>
          </w:tcPr>
          <w:p w:rsidR="0068209C" w:rsidRPr="001E54C7" w:rsidRDefault="0068209C" w:rsidP="00A20C3A">
            <w:pPr>
              <w:spacing w:after="200" w:line="276" w:lineRule="auto"/>
              <w:rPr>
                <w:lang w:val="en-US"/>
              </w:rPr>
            </w:pPr>
            <w:r w:rsidRPr="001E54C7">
              <w:rPr>
                <w:lang w:val="en-US"/>
              </w:rPr>
              <w:t>2.0</w:t>
            </w:r>
          </w:p>
        </w:tc>
      </w:tr>
      <w:tr w:rsidR="0068209C" w:rsidRPr="001E54C7" w:rsidTr="00A20C3A">
        <w:tc>
          <w:tcPr>
            <w:tcW w:w="2321" w:type="dxa"/>
          </w:tcPr>
          <w:p w:rsidR="0068209C" w:rsidRPr="001E54C7" w:rsidRDefault="0068209C" w:rsidP="00A20C3A">
            <w:pPr>
              <w:spacing w:after="200" w:line="276" w:lineRule="auto"/>
              <w:rPr>
                <w:lang w:val="en-US"/>
              </w:rPr>
            </w:pPr>
            <w:r w:rsidRPr="001E54C7">
              <w:rPr>
                <w:lang w:val="en-US"/>
              </w:rPr>
              <w:t>Cr</w:t>
            </w:r>
            <w:r w:rsidRPr="001E54C7">
              <w:rPr>
                <w:vertAlign w:val="subscript"/>
                <w:lang w:val="en-US"/>
              </w:rPr>
              <w:t>2</w:t>
            </w:r>
            <w:r w:rsidRPr="001E54C7">
              <w:rPr>
                <w:lang w:val="en-US"/>
              </w:rPr>
              <w:t>O</w:t>
            </w:r>
            <w:r w:rsidRPr="001E54C7">
              <w:rPr>
                <w:vertAlign w:val="subscript"/>
                <w:lang w:val="en-US"/>
              </w:rPr>
              <w:t>3</w:t>
            </w:r>
          </w:p>
        </w:tc>
        <w:tc>
          <w:tcPr>
            <w:tcW w:w="2322" w:type="dxa"/>
          </w:tcPr>
          <w:p w:rsidR="0068209C" w:rsidRPr="001E54C7" w:rsidRDefault="0068209C" w:rsidP="00A20C3A">
            <w:pPr>
              <w:spacing w:after="200" w:line="276" w:lineRule="auto"/>
              <w:rPr>
                <w:lang w:val="en-US"/>
              </w:rPr>
            </w:pPr>
            <w:r w:rsidRPr="001E54C7">
              <w:rPr>
                <w:lang w:val="en-US"/>
              </w:rPr>
              <w:t>31</w:t>
            </w:r>
          </w:p>
        </w:tc>
        <w:tc>
          <w:tcPr>
            <w:tcW w:w="2322" w:type="dxa"/>
          </w:tcPr>
          <w:p w:rsidR="0068209C" w:rsidRPr="001E54C7" w:rsidRDefault="0068209C" w:rsidP="00A20C3A">
            <w:pPr>
              <w:spacing w:after="200" w:line="276" w:lineRule="auto"/>
              <w:rPr>
                <w:lang w:val="en-US"/>
              </w:rPr>
            </w:pPr>
            <w:proofErr w:type="spellStart"/>
            <w:r w:rsidRPr="001E54C7">
              <w:rPr>
                <w:lang w:val="en-US"/>
              </w:rPr>
              <w:t>Rb</w:t>
            </w:r>
            <w:proofErr w:type="spellEnd"/>
          </w:p>
        </w:tc>
        <w:tc>
          <w:tcPr>
            <w:tcW w:w="2322" w:type="dxa"/>
          </w:tcPr>
          <w:p w:rsidR="0068209C" w:rsidRPr="001E54C7" w:rsidRDefault="0068209C" w:rsidP="00A20C3A">
            <w:pPr>
              <w:spacing w:after="200" w:line="276" w:lineRule="auto"/>
              <w:rPr>
                <w:lang w:val="en-US"/>
              </w:rPr>
            </w:pPr>
            <w:r w:rsidRPr="001E54C7">
              <w:rPr>
                <w:lang w:val="en-US"/>
              </w:rPr>
              <w:t>1.0</w:t>
            </w:r>
          </w:p>
        </w:tc>
      </w:tr>
      <w:tr w:rsidR="0068209C" w:rsidRPr="001E54C7" w:rsidTr="00A20C3A">
        <w:tc>
          <w:tcPr>
            <w:tcW w:w="2321" w:type="dxa"/>
          </w:tcPr>
          <w:p w:rsidR="0068209C" w:rsidRPr="001E54C7" w:rsidRDefault="0068209C" w:rsidP="00A20C3A">
            <w:pPr>
              <w:spacing w:after="200" w:line="276" w:lineRule="auto"/>
              <w:rPr>
                <w:lang w:val="en-US"/>
              </w:rPr>
            </w:pPr>
            <w:proofErr w:type="spellStart"/>
            <w:r w:rsidRPr="001E54C7">
              <w:rPr>
                <w:lang w:val="en-US"/>
              </w:rPr>
              <w:t>NiO</w:t>
            </w:r>
            <w:proofErr w:type="spellEnd"/>
          </w:p>
        </w:tc>
        <w:tc>
          <w:tcPr>
            <w:tcW w:w="2322" w:type="dxa"/>
          </w:tcPr>
          <w:p w:rsidR="0068209C" w:rsidRPr="001E54C7" w:rsidRDefault="0068209C" w:rsidP="00A20C3A">
            <w:pPr>
              <w:spacing w:after="200" w:line="276" w:lineRule="auto"/>
              <w:rPr>
                <w:lang w:val="en-US"/>
              </w:rPr>
            </w:pPr>
            <w:r w:rsidRPr="001E54C7">
              <w:rPr>
                <w:lang w:val="en-US"/>
              </w:rPr>
              <w:t>15</w:t>
            </w:r>
          </w:p>
        </w:tc>
        <w:tc>
          <w:tcPr>
            <w:tcW w:w="2322" w:type="dxa"/>
          </w:tcPr>
          <w:p w:rsidR="0068209C" w:rsidRPr="001E54C7" w:rsidRDefault="0068209C" w:rsidP="00A20C3A">
            <w:pPr>
              <w:spacing w:after="200" w:line="276" w:lineRule="auto"/>
              <w:rPr>
                <w:lang w:val="en-US"/>
              </w:rPr>
            </w:pPr>
            <w:r w:rsidRPr="001E54C7">
              <w:rPr>
                <w:lang w:val="en-US"/>
              </w:rPr>
              <w:t>Sb</w:t>
            </w:r>
          </w:p>
        </w:tc>
        <w:tc>
          <w:tcPr>
            <w:tcW w:w="2322" w:type="dxa"/>
          </w:tcPr>
          <w:p w:rsidR="0068209C" w:rsidRPr="001E54C7" w:rsidRDefault="0068209C" w:rsidP="00A20C3A">
            <w:pPr>
              <w:spacing w:after="200" w:line="276" w:lineRule="auto"/>
              <w:rPr>
                <w:lang w:val="en-US"/>
              </w:rPr>
            </w:pPr>
            <w:r w:rsidRPr="001E54C7">
              <w:rPr>
                <w:lang w:val="en-US"/>
              </w:rPr>
              <w:t>2.9</w:t>
            </w:r>
          </w:p>
        </w:tc>
      </w:tr>
      <w:tr w:rsidR="0068209C" w:rsidRPr="001E54C7" w:rsidTr="00A20C3A">
        <w:tc>
          <w:tcPr>
            <w:tcW w:w="2321"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r w:rsidRPr="001E54C7">
              <w:rPr>
                <w:lang w:val="en-US"/>
              </w:rPr>
              <w:t>Sn</w:t>
            </w:r>
          </w:p>
        </w:tc>
        <w:tc>
          <w:tcPr>
            <w:tcW w:w="2322" w:type="dxa"/>
          </w:tcPr>
          <w:p w:rsidR="0068209C" w:rsidRPr="001E54C7" w:rsidRDefault="0068209C" w:rsidP="00A20C3A">
            <w:pPr>
              <w:spacing w:after="200" w:line="276" w:lineRule="auto"/>
              <w:rPr>
                <w:lang w:val="en-US"/>
              </w:rPr>
            </w:pPr>
            <w:r w:rsidRPr="001E54C7">
              <w:rPr>
                <w:lang w:val="en-US"/>
              </w:rPr>
              <w:t>3.9</w:t>
            </w:r>
          </w:p>
        </w:tc>
      </w:tr>
      <w:tr w:rsidR="0068209C" w:rsidRPr="001E54C7" w:rsidTr="00A20C3A">
        <w:tc>
          <w:tcPr>
            <w:tcW w:w="2321"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proofErr w:type="spellStart"/>
            <w:r w:rsidRPr="001E54C7">
              <w:rPr>
                <w:lang w:val="en-US"/>
              </w:rPr>
              <w:t>Sr</w:t>
            </w:r>
            <w:proofErr w:type="spellEnd"/>
          </w:p>
        </w:tc>
        <w:tc>
          <w:tcPr>
            <w:tcW w:w="2322" w:type="dxa"/>
          </w:tcPr>
          <w:p w:rsidR="0068209C" w:rsidRPr="001E54C7" w:rsidRDefault="0068209C" w:rsidP="00A20C3A">
            <w:pPr>
              <w:spacing w:after="200" w:line="276" w:lineRule="auto"/>
              <w:rPr>
                <w:lang w:val="en-US"/>
              </w:rPr>
            </w:pPr>
            <w:r w:rsidRPr="001E54C7">
              <w:rPr>
                <w:lang w:val="en-US"/>
              </w:rPr>
              <w:t>0.9</w:t>
            </w:r>
          </w:p>
        </w:tc>
      </w:tr>
      <w:tr w:rsidR="0068209C" w:rsidRPr="001E54C7" w:rsidTr="00A20C3A">
        <w:tc>
          <w:tcPr>
            <w:tcW w:w="2321"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proofErr w:type="spellStart"/>
            <w:r w:rsidRPr="001E54C7">
              <w:rPr>
                <w:lang w:val="en-US"/>
              </w:rPr>
              <w:t>Th</w:t>
            </w:r>
            <w:proofErr w:type="spellEnd"/>
          </w:p>
        </w:tc>
        <w:tc>
          <w:tcPr>
            <w:tcW w:w="2322" w:type="dxa"/>
          </w:tcPr>
          <w:p w:rsidR="0068209C" w:rsidRPr="001E54C7" w:rsidRDefault="0068209C" w:rsidP="00A20C3A">
            <w:pPr>
              <w:spacing w:after="200" w:line="276" w:lineRule="auto"/>
              <w:rPr>
                <w:lang w:val="en-US"/>
              </w:rPr>
            </w:pPr>
            <w:r w:rsidRPr="001E54C7">
              <w:rPr>
                <w:lang w:val="en-US"/>
              </w:rPr>
              <w:t>2.8</w:t>
            </w:r>
          </w:p>
        </w:tc>
      </w:tr>
      <w:tr w:rsidR="0068209C" w:rsidRPr="001E54C7" w:rsidTr="00A20C3A">
        <w:tc>
          <w:tcPr>
            <w:tcW w:w="2321"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r w:rsidRPr="001E54C7">
              <w:rPr>
                <w:lang w:val="en-US"/>
              </w:rPr>
              <w:t>U</w:t>
            </w:r>
          </w:p>
        </w:tc>
        <w:tc>
          <w:tcPr>
            <w:tcW w:w="2322" w:type="dxa"/>
          </w:tcPr>
          <w:p w:rsidR="0068209C" w:rsidRPr="001E54C7" w:rsidRDefault="0068209C" w:rsidP="00A20C3A">
            <w:pPr>
              <w:spacing w:after="200" w:line="276" w:lineRule="auto"/>
              <w:rPr>
                <w:lang w:val="en-US"/>
              </w:rPr>
            </w:pPr>
            <w:r w:rsidRPr="001E54C7">
              <w:rPr>
                <w:lang w:val="en-US"/>
              </w:rPr>
              <w:t>2.9</w:t>
            </w:r>
          </w:p>
        </w:tc>
      </w:tr>
      <w:tr w:rsidR="0068209C" w:rsidRPr="001E54C7" w:rsidTr="00A20C3A">
        <w:tc>
          <w:tcPr>
            <w:tcW w:w="2321"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r w:rsidRPr="001E54C7">
              <w:rPr>
                <w:lang w:val="en-US"/>
              </w:rPr>
              <w:t>V</w:t>
            </w:r>
          </w:p>
        </w:tc>
        <w:tc>
          <w:tcPr>
            <w:tcW w:w="2322" w:type="dxa"/>
          </w:tcPr>
          <w:p w:rsidR="0068209C" w:rsidRPr="001E54C7" w:rsidRDefault="0068209C" w:rsidP="00A20C3A">
            <w:pPr>
              <w:spacing w:after="200" w:line="276" w:lineRule="auto"/>
              <w:rPr>
                <w:lang w:val="en-US"/>
              </w:rPr>
            </w:pPr>
            <w:r w:rsidRPr="001E54C7">
              <w:rPr>
                <w:lang w:val="en-US"/>
              </w:rPr>
              <w:t>2.9</w:t>
            </w:r>
          </w:p>
        </w:tc>
      </w:tr>
      <w:tr w:rsidR="0068209C" w:rsidRPr="001E54C7" w:rsidTr="00A20C3A">
        <w:tc>
          <w:tcPr>
            <w:tcW w:w="2321"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r w:rsidRPr="001E54C7">
              <w:rPr>
                <w:lang w:val="en-US"/>
              </w:rPr>
              <w:t>Y</w:t>
            </w:r>
          </w:p>
        </w:tc>
        <w:tc>
          <w:tcPr>
            <w:tcW w:w="2322" w:type="dxa"/>
          </w:tcPr>
          <w:p w:rsidR="0068209C" w:rsidRPr="001E54C7" w:rsidRDefault="0068209C" w:rsidP="00A20C3A">
            <w:pPr>
              <w:spacing w:after="200" w:line="276" w:lineRule="auto"/>
              <w:rPr>
                <w:lang w:val="en-US"/>
              </w:rPr>
            </w:pPr>
            <w:r w:rsidRPr="001E54C7">
              <w:rPr>
                <w:lang w:val="en-US"/>
              </w:rPr>
              <w:t>1.0</w:t>
            </w:r>
          </w:p>
        </w:tc>
      </w:tr>
      <w:tr w:rsidR="0068209C" w:rsidRPr="001E54C7" w:rsidTr="00A20C3A">
        <w:tc>
          <w:tcPr>
            <w:tcW w:w="2321"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p>
        </w:tc>
        <w:tc>
          <w:tcPr>
            <w:tcW w:w="2322" w:type="dxa"/>
          </w:tcPr>
          <w:p w:rsidR="0068209C" w:rsidRPr="001E54C7" w:rsidRDefault="0068209C" w:rsidP="00A20C3A">
            <w:pPr>
              <w:spacing w:after="200" w:line="276" w:lineRule="auto"/>
              <w:rPr>
                <w:lang w:val="en-US"/>
              </w:rPr>
            </w:pPr>
            <w:r w:rsidRPr="001E54C7">
              <w:rPr>
                <w:lang w:val="en-US"/>
              </w:rPr>
              <w:t>Zn</w:t>
            </w:r>
          </w:p>
        </w:tc>
        <w:tc>
          <w:tcPr>
            <w:tcW w:w="2322" w:type="dxa"/>
          </w:tcPr>
          <w:p w:rsidR="0068209C" w:rsidRPr="001E54C7" w:rsidRDefault="0068209C" w:rsidP="00A20C3A">
            <w:pPr>
              <w:spacing w:after="200" w:line="276" w:lineRule="auto"/>
              <w:rPr>
                <w:lang w:val="en-US"/>
              </w:rPr>
            </w:pPr>
            <w:r w:rsidRPr="001E54C7">
              <w:rPr>
                <w:lang w:val="en-US"/>
              </w:rPr>
              <w:t>1.8</w:t>
            </w:r>
          </w:p>
        </w:tc>
      </w:tr>
      <w:tr w:rsidR="0068209C" w:rsidRPr="001E54C7" w:rsidTr="00A20C3A">
        <w:tc>
          <w:tcPr>
            <w:tcW w:w="2321" w:type="dxa"/>
            <w:tcBorders>
              <w:bottom w:val="single" w:sz="12" w:space="0" w:color="auto"/>
            </w:tcBorders>
          </w:tcPr>
          <w:p w:rsidR="0068209C" w:rsidRPr="001E54C7" w:rsidRDefault="0068209C" w:rsidP="00A20C3A">
            <w:pPr>
              <w:spacing w:after="200" w:line="276" w:lineRule="auto"/>
              <w:rPr>
                <w:lang w:val="en-US"/>
              </w:rPr>
            </w:pPr>
          </w:p>
        </w:tc>
        <w:tc>
          <w:tcPr>
            <w:tcW w:w="2322" w:type="dxa"/>
            <w:tcBorders>
              <w:bottom w:val="single" w:sz="12" w:space="0" w:color="auto"/>
            </w:tcBorders>
          </w:tcPr>
          <w:p w:rsidR="0068209C" w:rsidRPr="001E54C7" w:rsidRDefault="0068209C" w:rsidP="00A20C3A">
            <w:pPr>
              <w:spacing w:after="200" w:line="276" w:lineRule="auto"/>
              <w:rPr>
                <w:lang w:val="en-US"/>
              </w:rPr>
            </w:pPr>
          </w:p>
        </w:tc>
        <w:tc>
          <w:tcPr>
            <w:tcW w:w="2322" w:type="dxa"/>
            <w:tcBorders>
              <w:bottom w:val="single" w:sz="12" w:space="0" w:color="auto"/>
            </w:tcBorders>
          </w:tcPr>
          <w:p w:rsidR="0068209C" w:rsidRPr="001E54C7" w:rsidRDefault="0068209C" w:rsidP="00A20C3A">
            <w:pPr>
              <w:spacing w:after="200" w:line="276" w:lineRule="auto"/>
              <w:rPr>
                <w:lang w:val="en-US"/>
              </w:rPr>
            </w:pPr>
            <w:proofErr w:type="spellStart"/>
            <w:r w:rsidRPr="001E54C7">
              <w:rPr>
                <w:lang w:val="en-US"/>
              </w:rPr>
              <w:t>Zr</w:t>
            </w:r>
            <w:proofErr w:type="spellEnd"/>
          </w:p>
        </w:tc>
        <w:tc>
          <w:tcPr>
            <w:tcW w:w="2322" w:type="dxa"/>
            <w:tcBorders>
              <w:bottom w:val="single" w:sz="12" w:space="0" w:color="auto"/>
            </w:tcBorders>
          </w:tcPr>
          <w:p w:rsidR="0068209C" w:rsidRPr="001E54C7" w:rsidRDefault="0068209C" w:rsidP="00A20C3A">
            <w:pPr>
              <w:spacing w:after="200" w:line="276" w:lineRule="auto"/>
              <w:rPr>
                <w:lang w:val="en-US"/>
              </w:rPr>
            </w:pPr>
            <w:r w:rsidRPr="001E54C7">
              <w:rPr>
                <w:lang w:val="en-US"/>
              </w:rPr>
              <w:t>1.0</w:t>
            </w:r>
          </w:p>
        </w:tc>
      </w:tr>
    </w:tbl>
    <w:p w:rsidR="0068209C" w:rsidRDefault="0068209C" w:rsidP="0068209C"/>
    <w:p w:rsidR="0068209C" w:rsidRDefault="0068209C"/>
    <w:p w:rsidR="0068209C" w:rsidRDefault="0068209C">
      <w:r>
        <w:br w:type="page"/>
      </w:r>
    </w:p>
    <w:p w:rsidR="0068209C" w:rsidRDefault="0068209C" w:rsidP="0068209C">
      <w:pPr>
        <w:spacing w:before="120" w:after="240"/>
        <w:rPr>
          <w:b/>
          <w:bCs/>
        </w:rPr>
      </w:pPr>
      <w:bookmarkStart w:id="3" w:name="_Ref371371410"/>
      <w:bookmarkStart w:id="4" w:name="_Toc372035039"/>
      <w:bookmarkStart w:id="5" w:name="_Toc381043933"/>
      <w:r w:rsidRPr="00BC785E">
        <w:rPr>
          <w:b/>
          <w:bCs/>
        </w:rPr>
        <w:lastRenderedPageBreak/>
        <w:t>Table</w:t>
      </w:r>
      <w:r>
        <w:rPr>
          <w:b/>
          <w:bCs/>
        </w:rPr>
        <w:t>.2</w:t>
      </w:r>
      <w:bookmarkEnd w:id="3"/>
      <w:r w:rsidRPr="00BC785E">
        <w:rPr>
          <w:b/>
          <w:bCs/>
        </w:rPr>
        <w:t xml:space="preserve"> Detection </w:t>
      </w:r>
      <w:proofErr w:type="gramStart"/>
      <w:r w:rsidRPr="00BC785E">
        <w:rPr>
          <w:b/>
          <w:bCs/>
        </w:rPr>
        <w:t>limit</w:t>
      </w:r>
      <w:proofErr w:type="gramEnd"/>
      <w:r w:rsidRPr="00BC785E">
        <w:rPr>
          <w:b/>
          <w:bCs/>
        </w:rPr>
        <w:t xml:space="preserve"> of Agilent 7700x ICP-MS used for trace element analysis.</w:t>
      </w:r>
      <w:bookmarkEnd w:id="4"/>
      <w:bookmarkEnd w:id="5"/>
    </w:p>
    <w:p w:rsidR="00B11E4D" w:rsidRDefault="0068209C" w:rsidP="0068209C">
      <w:r>
        <w:rPr>
          <w:noProof/>
          <w:lang w:eastAsia="en-AU"/>
        </w:rPr>
        <w:drawing>
          <wp:inline distT="0" distB="0" distL="0" distR="0" wp14:anchorId="0054F5D1" wp14:editId="56670234">
            <wp:extent cx="4333875" cy="565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333875" cy="5657850"/>
                    </a:xfrm>
                    <a:prstGeom prst="rect">
                      <a:avLst/>
                    </a:prstGeom>
                  </pic:spPr>
                </pic:pic>
              </a:graphicData>
            </a:graphic>
          </wp:inline>
        </w:drawing>
      </w:r>
    </w:p>
    <w:p w:rsidR="00012A87" w:rsidRDefault="00012A87">
      <w:r>
        <w:br w:type="page"/>
      </w:r>
    </w:p>
    <w:p w:rsidR="00012A87" w:rsidRDefault="00012A87" w:rsidP="0068209C">
      <w:pPr>
        <w:rPr>
          <w:b/>
          <w:bCs/>
        </w:rPr>
      </w:pPr>
      <w:r w:rsidRPr="00BC785E">
        <w:rPr>
          <w:b/>
          <w:bCs/>
        </w:rPr>
        <w:lastRenderedPageBreak/>
        <w:t>Table</w:t>
      </w:r>
      <w:r>
        <w:rPr>
          <w:b/>
          <w:bCs/>
        </w:rPr>
        <w:t>.3 Analytical setting for EMPA analyses</w:t>
      </w:r>
    </w:p>
    <w:tbl>
      <w:tblPr>
        <w:tblW w:w="10632" w:type="dxa"/>
        <w:tblInd w:w="-601" w:type="dxa"/>
        <w:tblLook w:val="04A0" w:firstRow="1" w:lastRow="0" w:firstColumn="1" w:lastColumn="0" w:noHBand="0" w:noVBand="1"/>
      </w:tblPr>
      <w:tblGrid>
        <w:gridCol w:w="1181"/>
        <w:gridCol w:w="943"/>
        <w:gridCol w:w="1443"/>
        <w:gridCol w:w="2161"/>
        <w:gridCol w:w="1751"/>
        <w:gridCol w:w="1672"/>
        <w:gridCol w:w="1701"/>
      </w:tblGrid>
      <w:tr w:rsidR="00012A87" w:rsidRPr="00012A87" w:rsidTr="00012A87">
        <w:trPr>
          <w:trHeight w:val="300"/>
        </w:trPr>
        <w:tc>
          <w:tcPr>
            <w:tcW w:w="961"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Corundum</w:t>
            </w:r>
          </w:p>
        </w:tc>
        <w:tc>
          <w:tcPr>
            <w:tcW w:w="943"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1443"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2161"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1751"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1672"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1701"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Channel</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Crystal</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Element/Line</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Standards(s)</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 xml:space="preserve">Peak </w:t>
            </w:r>
            <w:proofErr w:type="spellStart"/>
            <w:r w:rsidRPr="00012A87">
              <w:rPr>
                <w:rFonts w:ascii="Calibri" w:eastAsia="Times New Roman" w:hAnsi="Calibri" w:cs="Times New Roman"/>
                <w:b/>
                <w:bCs/>
                <w:color w:val="000000"/>
                <w:lang w:eastAsia="en-AU"/>
              </w:rPr>
              <w:t>Pos</w:t>
            </w:r>
            <w:proofErr w:type="spellEnd"/>
            <w:r w:rsidRPr="00012A87">
              <w:rPr>
                <w:rFonts w:ascii="Calibri" w:eastAsia="Times New Roman" w:hAnsi="Calibri" w:cs="Times New Roman"/>
                <w:b/>
                <w:bCs/>
                <w:color w:val="000000"/>
                <w:lang w:eastAsia="en-AU"/>
              </w:rPr>
              <w:t xml:space="preserve"> (mm)</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Background (-)</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Background (+)</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TAP</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F</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Flureite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199.287</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-7</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Na</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Albite</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129.446</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Mg</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Periclase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107.493</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-9</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Al</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Al2O3 synthetic/albite</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90.646</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Si</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Various</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77.45</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-3</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3.5</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2</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PET</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K</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Sanidine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120.101</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Ca</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Diopside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107.931</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3</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LIF</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Ti</w:t>
            </w:r>
            <w:proofErr w:type="spellEnd"/>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Rutile/TiO2</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191.371</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8</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Ba</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Benitoite</w:t>
            </w:r>
            <w:proofErr w:type="spellEnd"/>
            <w:r w:rsidRPr="00012A87">
              <w:rPr>
                <w:rFonts w:ascii="Calibri" w:eastAsia="Times New Roman" w:hAnsi="Calibri" w:cs="Times New Roman"/>
                <w:color w:val="000000"/>
                <w:lang w:eastAsia="en-AU"/>
              </w:rPr>
              <w:t>/barite</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193.177/193.150</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4</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LIF</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Mn</w:t>
            </w:r>
            <w:proofErr w:type="spellEnd"/>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Rhodonite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146.343</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Fe</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Haematite</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134.834</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r>
    </w:tbl>
    <w:p w:rsidR="00012A87" w:rsidRDefault="00012A87" w:rsidP="0068209C"/>
    <w:tbl>
      <w:tblPr>
        <w:tblW w:w="10632" w:type="dxa"/>
        <w:tblInd w:w="-459" w:type="dxa"/>
        <w:tblLook w:val="04A0" w:firstRow="1" w:lastRow="0" w:firstColumn="1" w:lastColumn="0" w:noHBand="0" w:noVBand="1"/>
      </w:tblPr>
      <w:tblGrid>
        <w:gridCol w:w="1308"/>
        <w:gridCol w:w="943"/>
        <w:gridCol w:w="1443"/>
        <w:gridCol w:w="2161"/>
        <w:gridCol w:w="1751"/>
        <w:gridCol w:w="1672"/>
        <w:gridCol w:w="1701"/>
      </w:tblGrid>
      <w:tr w:rsidR="00012A87" w:rsidRPr="00012A87" w:rsidTr="00012A87">
        <w:trPr>
          <w:trHeight w:val="300"/>
        </w:trPr>
        <w:tc>
          <w:tcPr>
            <w:tcW w:w="961"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Amphiboles</w:t>
            </w:r>
          </w:p>
        </w:tc>
        <w:tc>
          <w:tcPr>
            <w:tcW w:w="943"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1443"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2161"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1751"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1672"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c>
          <w:tcPr>
            <w:tcW w:w="1701" w:type="dxa"/>
            <w:tcBorders>
              <w:top w:val="nil"/>
              <w:left w:val="nil"/>
              <w:bottom w:val="nil"/>
              <w:right w:val="nil"/>
            </w:tcBorders>
            <w:shd w:val="clear" w:color="auto" w:fill="auto"/>
            <w:noWrap/>
            <w:vAlign w:val="bottom"/>
          </w:tcPr>
          <w:p w:rsidR="00012A87" w:rsidRPr="00012A87" w:rsidRDefault="00012A87" w:rsidP="00012A87">
            <w:pPr>
              <w:spacing w:after="0" w:line="240" w:lineRule="auto"/>
              <w:rPr>
                <w:rFonts w:ascii="Calibri" w:eastAsia="Times New Roman" w:hAnsi="Calibri" w:cs="Times New Roman"/>
                <w:b/>
                <w:bCs/>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Channel</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Crystal</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Element/Line</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Standards(s)</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 xml:space="preserve">Peak </w:t>
            </w:r>
            <w:proofErr w:type="spellStart"/>
            <w:r w:rsidRPr="00012A87">
              <w:rPr>
                <w:rFonts w:ascii="Calibri" w:eastAsia="Times New Roman" w:hAnsi="Calibri" w:cs="Times New Roman"/>
                <w:b/>
                <w:bCs/>
                <w:color w:val="000000"/>
                <w:lang w:eastAsia="en-AU"/>
              </w:rPr>
              <w:t>Pos</w:t>
            </w:r>
            <w:proofErr w:type="spellEnd"/>
            <w:r w:rsidRPr="00012A87">
              <w:rPr>
                <w:rFonts w:ascii="Calibri" w:eastAsia="Times New Roman" w:hAnsi="Calibri" w:cs="Times New Roman"/>
                <w:b/>
                <w:bCs/>
                <w:color w:val="000000"/>
                <w:lang w:eastAsia="en-AU"/>
              </w:rPr>
              <w:t xml:space="preserve"> (mm)</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Background (-)</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b/>
                <w:bCs/>
                <w:color w:val="000000"/>
                <w:lang w:eastAsia="en-AU"/>
              </w:rPr>
            </w:pPr>
            <w:r w:rsidRPr="00012A87">
              <w:rPr>
                <w:rFonts w:ascii="Calibri" w:eastAsia="Times New Roman" w:hAnsi="Calibri" w:cs="Times New Roman"/>
                <w:b/>
                <w:bCs/>
                <w:color w:val="000000"/>
                <w:lang w:eastAsia="en-AU"/>
              </w:rPr>
              <w:t>Background (+)</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TAP</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F</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Flureite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199.287</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-7</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Na</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Albite</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129.446</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Mg</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Periclase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107.493</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-9</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Al</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Al2O3 synthetic/albite</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90.646</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Si</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Various</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77.45</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-3</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3.5</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2</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PET</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K</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Sanidine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120.101</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Ca</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Diopside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107.931</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3</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LIF</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Ti</w:t>
            </w:r>
            <w:proofErr w:type="spellEnd"/>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Rutile/TiO2</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191.371</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8</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Ba</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Benitoite</w:t>
            </w:r>
            <w:proofErr w:type="spellEnd"/>
            <w:r w:rsidRPr="00012A87">
              <w:rPr>
                <w:rFonts w:ascii="Calibri" w:eastAsia="Times New Roman" w:hAnsi="Calibri" w:cs="Times New Roman"/>
                <w:color w:val="000000"/>
                <w:lang w:eastAsia="en-AU"/>
              </w:rPr>
              <w:t>/barite</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193.177/193.150</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6</w:t>
            </w: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4</w:t>
            </w: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LIF</w:t>
            </w: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Mn</w:t>
            </w:r>
            <w:proofErr w:type="spellEnd"/>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roofErr w:type="spellStart"/>
            <w:r w:rsidRPr="00012A87">
              <w:rPr>
                <w:rFonts w:ascii="Calibri" w:eastAsia="Times New Roman" w:hAnsi="Calibri" w:cs="Times New Roman"/>
                <w:color w:val="000000"/>
                <w:lang w:eastAsia="en-AU"/>
              </w:rPr>
              <w:t>Rhodonite</w:t>
            </w:r>
            <w:proofErr w:type="spellEnd"/>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146.343</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r w:rsidR="00012A87" w:rsidRPr="00012A87" w:rsidTr="00012A87">
        <w:trPr>
          <w:trHeight w:val="300"/>
        </w:trPr>
        <w:tc>
          <w:tcPr>
            <w:tcW w:w="9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9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p>
        </w:tc>
        <w:tc>
          <w:tcPr>
            <w:tcW w:w="1443"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Fe</w:t>
            </w:r>
          </w:p>
        </w:tc>
        <w:tc>
          <w:tcPr>
            <w:tcW w:w="216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Haematite</w:t>
            </w:r>
          </w:p>
        </w:tc>
        <w:tc>
          <w:tcPr>
            <w:tcW w:w="175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right"/>
              <w:rPr>
                <w:rFonts w:ascii="Calibri" w:eastAsia="Times New Roman" w:hAnsi="Calibri" w:cs="Times New Roman"/>
                <w:color w:val="000000"/>
                <w:lang w:eastAsia="en-AU"/>
              </w:rPr>
            </w:pPr>
            <w:r w:rsidRPr="00012A87">
              <w:rPr>
                <w:rFonts w:ascii="Calibri" w:eastAsia="Times New Roman" w:hAnsi="Calibri" w:cs="Times New Roman"/>
                <w:color w:val="000000"/>
                <w:lang w:eastAsia="en-AU"/>
              </w:rPr>
              <w:t>134.834</w:t>
            </w:r>
          </w:p>
        </w:tc>
        <w:tc>
          <w:tcPr>
            <w:tcW w:w="1672"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c>
          <w:tcPr>
            <w:tcW w:w="1701" w:type="dxa"/>
            <w:tcBorders>
              <w:top w:val="nil"/>
              <w:left w:val="nil"/>
              <w:bottom w:val="nil"/>
              <w:right w:val="nil"/>
            </w:tcBorders>
            <w:shd w:val="clear" w:color="auto" w:fill="auto"/>
            <w:noWrap/>
            <w:vAlign w:val="bottom"/>
            <w:hideMark/>
          </w:tcPr>
          <w:p w:rsidR="00012A87" w:rsidRPr="00012A87" w:rsidRDefault="00012A87" w:rsidP="00012A87">
            <w:pPr>
              <w:spacing w:after="0" w:line="240" w:lineRule="auto"/>
              <w:jc w:val="center"/>
              <w:rPr>
                <w:rFonts w:ascii="Calibri" w:eastAsia="Times New Roman" w:hAnsi="Calibri" w:cs="Times New Roman"/>
                <w:color w:val="000000"/>
                <w:lang w:eastAsia="en-AU"/>
              </w:rPr>
            </w:pPr>
          </w:p>
        </w:tc>
      </w:tr>
    </w:tbl>
    <w:p w:rsidR="0043330C" w:rsidRDefault="0043330C" w:rsidP="0068209C"/>
    <w:p w:rsidR="0043330C" w:rsidRDefault="0043330C">
      <w:r>
        <w:br w:type="page"/>
      </w:r>
    </w:p>
    <w:p w:rsidR="0043330C" w:rsidRDefault="0043330C" w:rsidP="0068209C">
      <w:pPr>
        <w:rPr>
          <w:b/>
          <w:bCs/>
        </w:rPr>
      </w:pPr>
      <w:r w:rsidRPr="00BC785E">
        <w:rPr>
          <w:b/>
          <w:bCs/>
        </w:rPr>
        <w:lastRenderedPageBreak/>
        <w:t>Table</w:t>
      </w:r>
      <w:r>
        <w:rPr>
          <w:b/>
          <w:bCs/>
        </w:rPr>
        <w:t>.4 Samples and methods</w:t>
      </w:r>
    </w:p>
    <w:p w:rsidR="0043330C" w:rsidRDefault="0043330C" w:rsidP="0043330C">
      <w:pPr>
        <w:spacing w:line="360" w:lineRule="auto"/>
        <w:jc w:val="both"/>
        <w:rPr>
          <w:rFonts w:ascii="Times New Roman" w:hAnsi="Times New Roman"/>
          <w:sz w:val="24"/>
          <w:szCs w:val="24"/>
        </w:rPr>
      </w:pPr>
      <w:r w:rsidRPr="0064508B">
        <w:rPr>
          <w:rFonts w:ascii="Times New Roman" w:hAnsi="Times New Roman"/>
          <w:sz w:val="24"/>
          <w:szCs w:val="24"/>
        </w:rPr>
        <w:t>Samples are labelled based on their collection point and all denoted with PAR (Paranesti) prefix. Prior to any analysis, the selected samples were firstly processed into a fine powder (</w:t>
      </w:r>
      <w:r>
        <w:rPr>
          <w:rFonts w:ascii="Times New Roman" w:hAnsi="Times New Roman"/>
          <w:sz w:val="24"/>
          <w:szCs w:val="24"/>
        </w:rPr>
        <w:sym w:font="Symbol" w:char="F0A3"/>
      </w:r>
      <w:r w:rsidRPr="0064508B">
        <w:rPr>
          <w:rFonts w:ascii="Times New Roman" w:hAnsi="Times New Roman"/>
          <w:sz w:val="24"/>
          <w:szCs w:val="24"/>
        </w:rPr>
        <w:t xml:space="preserve"> 25 µm grain size). Rock crushing and milling were conducted at the School of Biological, Earth and Environmental Sciences (BEES), UNSW using a combination of a jaw crusher, geological pick and brass plate, and the </w:t>
      </w:r>
      <w:proofErr w:type="spellStart"/>
      <w:r w:rsidRPr="0064508B">
        <w:rPr>
          <w:rFonts w:ascii="Times New Roman" w:hAnsi="Times New Roman"/>
          <w:i/>
          <w:sz w:val="24"/>
          <w:szCs w:val="24"/>
        </w:rPr>
        <w:t>Rocklabs</w:t>
      </w:r>
      <w:proofErr w:type="spellEnd"/>
      <w:r w:rsidRPr="0064508B">
        <w:rPr>
          <w:rFonts w:ascii="Times New Roman" w:hAnsi="Times New Roman"/>
          <w:sz w:val="24"/>
          <w:szCs w:val="24"/>
        </w:rPr>
        <w:t xml:space="preserve"> Tungsten ring mill. Prior to milling, samples were broken into small (&lt; 10 mm) pieces using either the rock jaw crusher or geological pick and brass plate, then any remaining weathered and oxidised surfaces were removed to ensure that only fresh and unweathered rocks were processed for analysis. </w:t>
      </w:r>
    </w:p>
    <w:p w:rsidR="0043330C" w:rsidRDefault="0043330C" w:rsidP="0043330C">
      <w:pPr>
        <w:spacing w:line="360" w:lineRule="auto"/>
        <w:jc w:val="both"/>
        <w:rPr>
          <w:rFonts w:ascii="Times New Roman" w:hAnsi="Times New Roman"/>
          <w:sz w:val="24"/>
          <w:szCs w:val="24"/>
        </w:rPr>
      </w:pPr>
      <w:r w:rsidRPr="0064508B">
        <w:rPr>
          <w:rFonts w:ascii="Times New Roman" w:hAnsi="Times New Roman"/>
          <w:sz w:val="24"/>
          <w:szCs w:val="24"/>
        </w:rPr>
        <w:t xml:space="preserve">For XRF analysis, glass beads and pressed pellets in aluminium caps were prepared for major and trace elements, respectively. Both trace and major elements were analysed using the </w:t>
      </w:r>
      <w:proofErr w:type="spellStart"/>
      <w:r w:rsidRPr="0064508B">
        <w:rPr>
          <w:rFonts w:ascii="Times New Roman" w:hAnsi="Times New Roman"/>
          <w:sz w:val="24"/>
          <w:szCs w:val="24"/>
        </w:rPr>
        <w:t>PANalytical</w:t>
      </w:r>
      <w:proofErr w:type="spellEnd"/>
      <w:r w:rsidRPr="0064508B">
        <w:rPr>
          <w:rFonts w:ascii="Times New Roman" w:hAnsi="Times New Roman"/>
          <w:sz w:val="24"/>
          <w:szCs w:val="24"/>
        </w:rPr>
        <w:t xml:space="preserve"> PW2400 Sequential WDXRF Spectrometer that had been calibrated using certified reference materials. </w:t>
      </w:r>
    </w:p>
    <w:p w:rsidR="00CA316A" w:rsidRDefault="00CA316A" w:rsidP="00CA316A">
      <w:pPr>
        <w:spacing w:line="360" w:lineRule="auto"/>
        <w:jc w:val="both"/>
        <w:rPr>
          <w:rFonts w:ascii="Times New Roman" w:hAnsi="Times New Roman"/>
          <w:sz w:val="24"/>
          <w:szCs w:val="24"/>
        </w:rPr>
      </w:pPr>
      <w:r w:rsidRPr="0064508B">
        <w:rPr>
          <w:rFonts w:ascii="Times New Roman" w:hAnsi="Times New Roman"/>
          <w:sz w:val="24"/>
          <w:szCs w:val="24"/>
        </w:rPr>
        <w:t xml:space="preserve">The microscope was operated under high-vacuum conditions with an accelerating voltage of 20 kV and beam current of 3 </w:t>
      </w:r>
      <w:proofErr w:type="spellStart"/>
      <w:r w:rsidRPr="0064508B">
        <w:rPr>
          <w:rFonts w:ascii="Times New Roman" w:hAnsi="Times New Roman"/>
          <w:sz w:val="24"/>
          <w:szCs w:val="24"/>
        </w:rPr>
        <w:t>nA</w:t>
      </w:r>
      <w:proofErr w:type="spellEnd"/>
      <w:r w:rsidRPr="0064508B">
        <w:rPr>
          <w:rFonts w:ascii="Times New Roman" w:hAnsi="Times New Roman"/>
          <w:sz w:val="24"/>
          <w:szCs w:val="24"/>
        </w:rPr>
        <w:t xml:space="preserve"> at working distances from 12.5 mm. SEM images were acquired to highlight topography and surface damage of the samples. The column of the instrument employed for the analysis was surrounded by 4 wavelength dispersive spectrometers (WDS) to detect and measure the X-ray emitted for semi-quantitative analysis of the samples.</w:t>
      </w:r>
    </w:p>
    <w:p w:rsidR="002C77D0" w:rsidRPr="0064508B" w:rsidRDefault="002C77D0" w:rsidP="00CA316A">
      <w:pPr>
        <w:spacing w:line="360" w:lineRule="auto"/>
        <w:jc w:val="both"/>
        <w:rPr>
          <w:rFonts w:ascii="Times New Roman" w:hAnsi="Times New Roman"/>
          <w:sz w:val="24"/>
          <w:szCs w:val="24"/>
        </w:rPr>
      </w:pPr>
      <w:r w:rsidRPr="0064508B">
        <w:rPr>
          <w:rFonts w:ascii="Times New Roman" w:hAnsi="Times New Roman"/>
          <w:iCs/>
          <w:sz w:val="24"/>
          <w:szCs w:val="24"/>
        </w:rPr>
        <w:t xml:space="preserve">The quality of the </w:t>
      </w:r>
      <w:r>
        <w:rPr>
          <w:rFonts w:ascii="Times New Roman" w:hAnsi="Times New Roman"/>
          <w:iCs/>
          <w:sz w:val="24"/>
          <w:szCs w:val="24"/>
        </w:rPr>
        <w:t xml:space="preserve">EMPA </w:t>
      </w:r>
      <w:r w:rsidRPr="0064508B">
        <w:rPr>
          <w:rFonts w:ascii="Times New Roman" w:hAnsi="Times New Roman"/>
          <w:iCs/>
          <w:sz w:val="24"/>
          <w:szCs w:val="24"/>
        </w:rPr>
        <w:t>results was monitored via analysis of additional mineral and synthetic standards of known composition. The standards used were Ga (GaAs), Na (albite), Mg (</w:t>
      </w:r>
      <w:proofErr w:type="spellStart"/>
      <w:r w:rsidRPr="0064508B">
        <w:rPr>
          <w:rFonts w:ascii="Times New Roman" w:hAnsi="Times New Roman"/>
          <w:iCs/>
          <w:sz w:val="24"/>
          <w:szCs w:val="24"/>
        </w:rPr>
        <w:t>periclase</w:t>
      </w:r>
      <w:proofErr w:type="spellEnd"/>
      <w:r w:rsidRPr="0064508B">
        <w:rPr>
          <w:rFonts w:ascii="Times New Roman" w:hAnsi="Times New Roman"/>
          <w:iCs/>
          <w:sz w:val="24"/>
          <w:szCs w:val="24"/>
        </w:rPr>
        <w:t xml:space="preserve">), Al (MP1 garnet), Si and </w:t>
      </w:r>
      <w:proofErr w:type="spellStart"/>
      <w:r w:rsidRPr="0064508B">
        <w:rPr>
          <w:rFonts w:ascii="Times New Roman" w:hAnsi="Times New Roman"/>
          <w:iCs/>
          <w:sz w:val="24"/>
          <w:szCs w:val="24"/>
        </w:rPr>
        <w:t>Mn</w:t>
      </w:r>
      <w:proofErr w:type="spellEnd"/>
      <w:r w:rsidRPr="0064508B">
        <w:rPr>
          <w:rFonts w:ascii="Times New Roman" w:hAnsi="Times New Roman"/>
          <w:iCs/>
          <w:sz w:val="24"/>
          <w:szCs w:val="24"/>
        </w:rPr>
        <w:t xml:space="preserve"> (</w:t>
      </w:r>
      <w:proofErr w:type="spellStart"/>
      <w:r w:rsidRPr="0064508B">
        <w:rPr>
          <w:rFonts w:ascii="Times New Roman" w:hAnsi="Times New Roman"/>
          <w:iCs/>
          <w:sz w:val="24"/>
          <w:szCs w:val="24"/>
        </w:rPr>
        <w:t>Rhodonite</w:t>
      </w:r>
      <w:proofErr w:type="spellEnd"/>
      <w:r w:rsidRPr="0064508B">
        <w:rPr>
          <w:rFonts w:ascii="Times New Roman" w:hAnsi="Times New Roman"/>
          <w:iCs/>
          <w:sz w:val="24"/>
          <w:szCs w:val="24"/>
        </w:rPr>
        <w:t xml:space="preserve">), P (apatite), </w:t>
      </w:r>
      <w:proofErr w:type="spellStart"/>
      <w:r w:rsidRPr="0064508B">
        <w:rPr>
          <w:rFonts w:ascii="Times New Roman" w:hAnsi="Times New Roman"/>
          <w:iCs/>
          <w:sz w:val="24"/>
          <w:szCs w:val="24"/>
        </w:rPr>
        <w:t>Nb</w:t>
      </w:r>
      <w:proofErr w:type="spellEnd"/>
      <w:r w:rsidRPr="0064508B">
        <w:rPr>
          <w:rFonts w:ascii="Times New Roman" w:hAnsi="Times New Roman"/>
          <w:iCs/>
          <w:sz w:val="24"/>
          <w:szCs w:val="24"/>
        </w:rPr>
        <w:t xml:space="preserve"> (</w:t>
      </w:r>
      <w:proofErr w:type="spellStart"/>
      <w:r w:rsidRPr="0064508B">
        <w:rPr>
          <w:rFonts w:ascii="Times New Roman" w:hAnsi="Times New Roman"/>
          <w:iCs/>
          <w:sz w:val="24"/>
          <w:szCs w:val="24"/>
        </w:rPr>
        <w:t>Nb+Sn</w:t>
      </w:r>
      <w:proofErr w:type="spellEnd"/>
      <w:r w:rsidRPr="0064508B">
        <w:rPr>
          <w:rFonts w:ascii="Times New Roman" w:hAnsi="Times New Roman"/>
          <w:iCs/>
          <w:sz w:val="24"/>
          <w:szCs w:val="24"/>
        </w:rPr>
        <w:t xml:space="preserve"> metal), K (</w:t>
      </w:r>
      <w:proofErr w:type="spellStart"/>
      <w:r w:rsidRPr="0064508B">
        <w:rPr>
          <w:rFonts w:ascii="Times New Roman" w:hAnsi="Times New Roman"/>
          <w:iCs/>
          <w:sz w:val="24"/>
          <w:szCs w:val="24"/>
        </w:rPr>
        <w:t>sanidine</w:t>
      </w:r>
      <w:proofErr w:type="spellEnd"/>
      <w:r w:rsidRPr="0064508B">
        <w:rPr>
          <w:rFonts w:ascii="Times New Roman" w:hAnsi="Times New Roman"/>
          <w:iCs/>
          <w:sz w:val="24"/>
          <w:szCs w:val="24"/>
        </w:rPr>
        <w:t>), Ca (</w:t>
      </w:r>
      <w:proofErr w:type="spellStart"/>
      <w:r w:rsidRPr="0064508B">
        <w:rPr>
          <w:rFonts w:ascii="Times New Roman" w:hAnsi="Times New Roman"/>
          <w:iCs/>
          <w:sz w:val="24"/>
          <w:szCs w:val="24"/>
        </w:rPr>
        <w:t>diopside</w:t>
      </w:r>
      <w:proofErr w:type="spellEnd"/>
      <w:r w:rsidRPr="0064508B">
        <w:rPr>
          <w:rFonts w:ascii="Times New Roman" w:hAnsi="Times New Roman"/>
          <w:iCs/>
          <w:sz w:val="24"/>
          <w:szCs w:val="24"/>
        </w:rPr>
        <w:t xml:space="preserve">), </w:t>
      </w:r>
      <w:proofErr w:type="spellStart"/>
      <w:r w:rsidRPr="0064508B">
        <w:rPr>
          <w:rFonts w:ascii="Times New Roman" w:hAnsi="Times New Roman"/>
          <w:iCs/>
          <w:sz w:val="24"/>
          <w:szCs w:val="24"/>
        </w:rPr>
        <w:t>Ti</w:t>
      </w:r>
      <w:proofErr w:type="spellEnd"/>
      <w:r w:rsidRPr="0064508B">
        <w:rPr>
          <w:rFonts w:ascii="Times New Roman" w:hAnsi="Times New Roman"/>
          <w:iCs/>
          <w:sz w:val="24"/>
          <w:szCs w:val="24"/>
        </w:rPr>
        <w:t xml:space="preserve"> (rutile), Cr (chromite), Fe (hematite), Ta (Ta metal), F (fluorite), and Ba (</w:t>
      </w:r>
      <w:proofErr w:type="spellStart"/>
      <w:r w:rsidRPr="0064508B">
        <w:rPr>
          <w:rFonts w:ascii="Times New Roman" w:hAnsi="Times New Roman"/>
          <w:iCs/>
          <w:sz w:val="24"/>
          <w:szCs w:val="24"/>
        </w:rPr>
        <w:t>benitoite</w:t>
      </w:r>
      <w:proofErr w:type="spellEnd"/>
      <w:r w:rsidRPr="0064508B">
        <w:rPr>
          <w:rFonts w:ascii="Times New Roman" w:hAnsi="Times New Roman"/>
          <w:iCs/>
          <w:sz w:val="24"/>
          <w:szCs w:val="24"/>
        </w:rPr>
        <w:t xml:space="preserve">). Grains analysed included the rubies, spinel inclusions within the rubies, phyllosilicates rimming the rubies, surrounding amphiboles and chlorite from the chlorite zone. </w:t>
      </w:r>
    </w:p>
    <w:p w:rsidR="00A07C71" w:rsidRPr="00A07C71" w:rsidRDefault="00A07C71" w:rsidP="00A07C71">
      <w:pPr>
        <w:spacing w:before="120" w:after="0" w:line="360" w:lineRule="auto"/>
        <w:jc w:val="both"/>
        <w:rPr>
          <w:rFonts w:ascii="Times" w:eastAsia="Times" w:hAnsi="Times" w:cs="Times New Roman"/>
          <w:sz w:val="24"/>
          <w:szCs w:val="20"/>
          <w:lang w:val="en-GB"/>
        </w:rPr>
      </w:pPr>
      <w:r>
        <w:rPr>
          <w:rFonts w:ascii="Times" w:eastAsia="Times" w:hAnsi="Times" w:cs="Times New Roman"/>
          <w:sz w:val="24"/>
          <w:szCs w:val="20"/>
          <w:lang w:val="en-GB"/>
        </w:rPr>
        <w:t xml:space="preserve">For the ICP-MS analyses, </w:t>
      </w:r>
      <w:r w:rsidRPr="00A07C71">
        <w:rPr>
          <w:rFonts w:ascii="Times" w:eastAsia="Times" w:hAnsi="Times" w:cs="Times New Roman"/>
          <w:sz w:val="24"/>
          <w:szCs w:val="20"/>
          <w:lang w:val="en-GB"/>
        </w:rPr>
        <w:t>100 mg of the samples were digested with HF-HNO</w:t>
      </w:r>
      <w:r w:rsidRPr="00A07C71">
        <w:rPr>
          <w:rFonts w:ascii="Times" w:eastAsia="Times" w:hAnsi="Times" w:cs="Times New Roman"/>
          <w:sz w:val="24"/>
          <w:szCs w:val="20"/>
          <w:vertAlign w:val="subscript"/>
          <w:lang w:val="en-GB"/>
        </w:rPr>
        <w:t>3</w:t>
      </w:r>
      <w:r w:rsidRPr="00A07C71">
        <w:rPr>
          <w:rFonts w:ascii="Times" w:eastAsia="Times" w:hAnsi="Times" w:cs="Times New Roman"/>
          <w:sz w:val="24"/>
          <w:szCs w:val="20"/>
          <w:lang w:val="en-GB"/>
        </w:rPr>
        <w:t xml:space="preserve"> mixtures in high pressure bombs in an oven at 180 degrees Celsius for 60 hours. </w:t>
      </w:r>
      <w:r>
        <w:rPr>
          <w:rFonts w:ascii="Times" w:eastAsia="Times" w:hAnsi="Times" w:cs="Times New Roman"/>
          <w:sz w:val="24"/>
          <w:szCs w:val="20"/>
          <w:lang w:val="en-GB"/>
        </w:rPr>
        <w:t>Solutions were then evaporated to dryness</w:t>
      </w:r>
      <w:r w:rsidRPr="00A07C71">
        <w:rPr>
          <w:rFonts w:ascii="Times" w:eastAsia="Times" w:hAnsi="Times" w:cs="Times New Roman"/>
          <w:sz w:val="24"/>
          <w:szCs w:val="20"/>
          <w:lang w:val="en-GB"/>
        </w:rPr>
        <w:t xml:space="preserve"> then </w:t>
      </w:r>
      <w:proofErr w:type="spellStart"/>
      <w:r w:rsidRPr="00A07C71">
        <w:rPr>
          <w:rFonts w:ascii="Times" w:eastAsia="Times" w:hAnsi="Times" w:cs="Times New Roman"/>
          <w:sz w:val="24"/>
          <w:szCs w:val="20"/>
          <w:lang w:val="en-GB"/>
        </w:rPr>
        <w:t>redissolved</w:t>
      </w:r>
      <w:proofErr w:type="spellEnd"/>
      <w:r w:rsidRPr="00A07C71">
        <w:rPr>
          <w:rFonts w:ascii="Times" w:eastAsia="Times" w:hAnsi="Times" w:cs="Times New Roman"/>
          <w:sz w:val="24"/>
          <w:szCs w:val="20"/>
          <w:lang w:val="en-GB"/>
        </w:rPr>
        <w:t xml:space="preserve"> in </w:t>
      </w:r>
      <w:proofErr w:type="spellStart"/>
      <w:r w:rsidRPr="00A07C71">
        <w:rPr>
          <w:rFonts w:ascii="Times" w:eastAsia="Times" w:hAnsi="Times" w:cs="Times New Roman"/>
          <w:sz w:val="24"/>
          <w:szCs w:val="20"/>
          <w:lang w:val="en-GB"/>
        </w:rPr>
        <w:t>HCl</w:t>
      </w:r>
      <w:proofErr w:type="spellEnd"/>
      <w:r w:rsidRPr="00A07C71">
        <w:rPr>
          <w:rFonts w:ascii="Times" w:eastAsia="Times" w:hAnsi="Times" w:cs="Times New Roman"/>
          <w:sz w:val="24"/>
          <w:szCs w:val="20"/>
          <w:lang w:val="en-GB"/>
        </w:rPr>
        <w:t xml:space="preserve"> for 24 hours in the oven. Next, samples were dried down and refluxed twice with conc. HNO3, then dissolved in sealed vessels with 3N HNO3 overnight. Solutions were transferred to transparent polycarbonate tubes, diluted with </w:t>
      </w:r>
      <w:r w:rsidRPr="00A07C71">
        <w:rPr>
          <w:rFonts w:ascii="Times" w:eastAsia="Times" w:hAnsi="Times" w:cs="Times New Roman"/>
          <w:sz w:val="24"/>
          <w:szCs w:val="20"/>
          <w:lang w:val="en-GB"/>
        </w:rPr>
        <w:lastRenderedPageBreak/>
        <w:t xml:space="preserve">water and centrifuged, then inspected for undissolved fluorides. If present, the </w:t>
      </w:r>
      <w:proofErr w:type="spellStart"/>
      <w:r w:rsidRPr="00A07C71">
        <w:rPr>
          <w:rFonts w:ascii="Times" w:eastAsia="Times" w:hAnsi="Times" w:cs="Times New Roman"/>
          <w:sz w:val="24"/>
          <w:szCs w:val="20"/>
          <w:lang w:val="en-GB"/>
        </w:rPr>
        <w:t>supenatants</w:t>
      </w:r>
      <w:proofErr w:type="spellEnd"/>
      <w:r w:rsidRPr="00A07C71">
        <w:rPr>
          <w:rFonts w:ascii="Times" w:eastAsia="Times" w:hAnsi="Times" w:cs="Times New Roman"/>
          <w:sz w:val="24"/>
          <w:szCs w:val="20"/>
          <w:lang w:val="en-GB"/>
        </w:rPr>
        <w:t xml:space="preserve"> are transferred to new tubes for those samples containing fluorides, and the fluorides transferred to bombs and dissolved in </w:t>
      </w:r>
      <w:proofErr w:type="spellStart"/>
      <w:r w:rsidRPr="00A07C71">
        <w:rPr>
          <w:rFonts w:ascii="Times" w:eastAsia="Times" w:hAnsi="Times" w:cs="Times New Roman"/>
          <w:sz w:val="24"/>
          <w:szCs w:val="20"/>
          <w:lang w:val="en-GB"/>
        </w:rPr>
        <w:t>HCl</w:t>
      </w:r>
      <w:proofErr w:type="spellEnd"/>
      <w:r w:rsidRPr="00A07C71">
        <w:rPr>
          <w:rFonts w:ascii="Times" w:eastAsia="Times" w:hAnsi="Times" w:cs="Times New Roman"/>
          <w:sz w:val="24"/>
          <w:szCs w:val="20"/>
          <w:lang w:val="en-GB"/>
        </w:rPr>
        <w:t xml:space="preserve"> overnight in the oven. These solutions were then dried down, refluxed with nitric, then dissolved in 3N HNO3. These solutions were re-combined with their corresponding supernatant solutions and centrifuged to ensure no fluorides remained. An aliquot of the solution is further diluted with a 1.8% HNO3 solution containing an internal standard mixture to give a total dilution factor of 13000. Analytical and drift correction procedures are comprehensively described in </w:t>
      </w:r>
      <w:proofErr w:type="spellStart"/>
      <w:r w:rsidRPr="00A07C71">
        <w:rPr>
          <w:rFonts w:ascii="Times" w:eastAsia="Times" w:hAnsi="Times" w:cs="Times New Roman"/>
          <w:sz w:val="24"/>
          <w:szCs w:val="20"/>
          <w:lang w:val="en-GB"/>
        </w:rPr>
        <w:t>Eggins</w:t>
      </w:r>
      <w:proofErr w:type="spellEnd"/>
      <w:r w:rsidRPr="00A07C71">
        <w:rPr>
          <w:rFonts w:ascii="Times" w:eastAsia="Times" w:hAnsi="Times" w:cs="Times New Roman"/>
          <w:sz w:val="24"/>
          <w:szCs w:val="20"/>
          <w:lang w:val="en-GB"/>
        </w:rPr>
        <w:t xml:space="preserve"> et al. (1997). The method uses a natural rock standard for calibration, internal drift correction using multi-internal standards (Li</w:t>
      </w:r>
      <w:r w:rsidRPr="00A07C71">
        <w:rPr>
          <w:rFonts w:ascii="Times" w:eastAsia="Times" w:hAnsi="Times" w:cs="Times New Roman"/>
          <w:sz w:val="24"/>
          <w:szCs w:val="20"/>
          <w:vertAlign w:val="superscript"/>
          <w:lang w:val="en-GB"/>
        </w:rPr>
        <w:t>6</w:t>
      </w:r>
      <w:r w:rsidRPr="00A07C71">
        <w:rPr>
          <w:rFonts w:ascii="Times" w:eastAsia="Times" w:hAnsi="Times" w:cs="Times New Roman"/>
          <w:sz w:val="24"/>
          <w:szCs w:val="20"/>
          <w:lang w:val="en-GB"/>
        </w:rPr>
        <w:t>, Sr</w:t>
      </w:r>
      <w:r w:rsidRPr="00A07C71">
        <w:rPr>
          <w:rFonts w:ascii="Times" w:eastAsia="Times" w:hAnsi="Times" w:cs="Times New Roman"/>
          <w:sz w:val="24"/>
          <w:szCs w:val="20"/>
          <w:vertAlign w:val="superscript"/>
          <w:lang w:val="en-GB"/>
        </w:rPr>
        <w:t>84</w:t>
      </w:r>
      <w:r w:rsidRPr="00A07C71">
        <w:rPr>
          <w:rFonts w:ascii="Times" w:eastAsia="Times" w:hAnsi="Times" w:cs="Times New Roman"/>
          <w:sz w:val="24"/>
          <w:szCs w:val="20"/>
          <w:lang w:val="en-GB"/>
        </w:rPr>
        <w:t>, Rh, Sm</w:t>
      </w:r>
      <w:r w:rsidRPr="00A07C71">
        <w:rPr>
          <w:rFonts w:ascii="Times" w:eastAsia="Times" w:hAnsi="Times" w:cs="Times New Roman"/>
          <w:sz w:val="24"/>
          <w:szCs w:val="20"/>
          <w:vertAlign w:val="superscript"/>
          <w:lang w:val="en-GB"/>
        </w:rPr>
        <w:t>147</w:t>
      </w:r>
      <w:r w:rsidRPr="00A07C71">
        <w:rPr>
          <w:rFonts w:ascii="Times" w:eastAsia="Times" w:hAnsi="Times" w:cs="Times New Roman"/>
          <w:sz w:val="24"/>
          <w:szCs w:val="20"/>
          <w:lang w:val="en-GB"/>
        </w:rPr>
        <w:t>, Re and U</w:t>
      </w:r>
      <w:r w:rsidRPr="00A07C71">
        <w:rPr>
          <w:rFonts w:ascii="Times" w:eastAsia="Times" w:hAnsi="Times" w:cs="Times New Roman"/>
          <w:sz w:val="24"/>
          <w:szCs w:val="20"/>
          <w:vertAlign w:val="superscript"/>
          <w:lang w:val="en-GB"/>
        </w:rPr>
        <w:t>235</w:t>
      </w:r>
      <w:r w:rsidRPr="00A07C71">
        <w:rPr>
          <w:rFonts w:ascii="Times" w:eastAsia="Times" w:hAnsi="Times" w:cs="Times New Roman"/>
          <w:sz w:val="24"/>
          <w:szCs w:val="20"/>
          <w:lang w:val="en-GB"/>
        </w:rPr>
        <w:t xml:space="preserve">), external drift monitors and aggressive washout procedures. Differences from the </w:t>
      </w:r>
      <w:proofErr w:type="spellStart"/>
      <w:r w:rsidRPr="00A07C71">
        <w:rPr>
          <w:rFonts w:ascii="Times" w:eastAsia="Times" w:hAnsi="Times" w:cs="Times New Roman"/>
          <w:sz w:val="24"/>
          <w:szCs w:val="20"/>
          <w:lang w:val="en-GB"/>
        </w:rPr>
        <w:t>Eggins</w:t>
      </w:r>
      <w:proofErr w:type="spellEnd"/>
      <w:r w:rsidRPr="00A07C71">
        <w:rPr>
          <w:rFonts w:ascii="Times" w:eastAsia="Times" w:hAnsi="Times" w:cs="Times New Roman"/>
          <w:sz w:val="24"/>
          <w:szCs w:val="20"/>
          <w:lang w:val="en-GB"/>
        </w:rPr>
        <w:t xml:space="preserve"> et al. (1997) method are: 1) Tm, In and Bi were not used as internal standards as they are measured as </w:t>
      </w:r>
      <w:proofErr w:type="spellStart"/>
      <w:r w:rsidRPr="00A07C71">
        <w:rPr>
          <w:rFonts w:ascii="Times" w:eastAsia="Times" w:hAnsi="Times" w:cs="Times New Roman"/>
          <w:sz w:val="24"/>
          <w:szCs w:val="20"/>
          <w:lang w:val="en-GB"/>
        </w:rPr>
        <w:t>analytes</w:t>
      </w:r>
      <w:proofErr w:type="spellEnd"/>
      <w:r w:rsidRPr="00A07C71">
        <w:rPr>
          <w:rFonts w:ascii="Times" w:eastAsia="Times" w:hAnsi="Times" w:cs="Times New Roman"/>
          <w:sz w:val="24"/>
          <w:szCs w:val="20"/>
          <w:lang w:val="en-GB"/>
        </w:rPr>
        <w:t>; (2) Two digestions of the USGS standard W-2 are used for instrument calibration. The preferred concentrations used for W-2 were mostly derived by analysing it against synthetic standards and a literature survey of isotope dilution analyses (</w:t>
      </w:r>
      <w:proofErr w:type="spellStart"/>
      <w:r w:rsidRPr="00A07C71">
        <w:rPr>
          <w:rFonts w:ascii="Times" w:eastAsia="Times" w:hAnsi="Times" w:cs="Times New Roman"/>
          <w:sz w:val="24"/>
          <w:szCs w:val="20"/>
          <w:lang w:val="en-GB"/>
        </w:rPr>
        <w:t>Kamber</w:t>
      </w:r>
      <w:proofErr w:type="spellEnd"/>
      <w:r w:rsidRPr="00A07C71">
        <w:rPr>
          <w:rFonts w:ascii="Times" w:eastAsia="Times" w:hAnsi="Times" w:cs="Times New Roman"/>
          <w:sz w:val="24"/>
          <w:szCs w:val="20"/>
          <w:lang w:val="en-GB"/>
        </w:rPr>
        <w:t xml:space="preserve"> et al., 2003, 2005). Because only a single calibration standard is used, data can be easily normalised to other sets of preferred values for standards.</w:t>
      </w:r>
    </w:p>
    <w:p w:rsidR="00A07C71" w:rsidRPr="00A07C71" w:rsidRDefault="00A07C71" w:rsidP="00A07C71">
      <w:pPr>
        <w:spacing w:before="120" w:after="0" w:line="360" w:lineRule="auto"/>
        <w:ind w:firstLine="720"/>
        <w:rPr>
          <w:rFonts w:ascii="Times" w:eastAsia="Times" w:hAnsi="Times" w:cs="Times New Roman"/>
          <w:sz w:val="24"/>
          <w:szCs w:val="20"/>
          <w:lang w:val="en-GB"/>
        </w:rPr>
      </w:pPr>
    </w:p>
    <w:p w:rsidR="00A07C71" w:rsidRDefault="00A07C71" w:rsidP="00A07C71">
      <w:pPr>
        <w:spacing w:before="120" w:after="0" w:line="360" w:lineRule="auto"/>
        <w:jc w:val="both"/>
        <w:rPr>
          <w:rFonts w:ascii="Times" w:eastAsia="Times" w:hAnsi="Times" w:cs="Times New Roman"/>
          <w:sz w:val="24"/>
          <w:szCs w:val="20"/>
          <w:lang w:val="en-GB"/>
        </w:rPr>
      </w:pPr>
      <w:r>
        <w:rPr>
          <w:rFonts w:ascii="Times" w:eastAsia="Times" w:hAnsi="Times" w:cs="Times New Roman"/>
          <w:sz w:val="24"/>
          <w:szCs w:val="20"/>
          <w:lang w:val="en-GB"/>
        </w:rPr>
        <w:t>The s</w:t>
      </w:r>
      <w:r w:rsidRPr="00A07C71">
        <w:rPr>
          <w:rFonts w:ascii="Times" w:eastAsia="Times" w:hAnsi="Times" w:cs="Times New Roman"/>
          <w:sz w:val="24"/>
          <w:szCs w:val="20"/>
          <w:lang w:val="en-GB"/>
        </w:rPr>
        <w:t xml:space="preserve">amples </w:t>
      </w:r>
      <w:r>
        <w:rPr>
          <w:rFonts w:ascii="Times" w:eastAsia="Times" w:hAnsi="Times" w:cs="Times New Roman"/>
          <w:sz w:val="24"/>
          <w:szCs w:val="20"/>
          <w:lang w:val="en-GB"/>
        </w:rPr>
        <w:t xml:space="preserve">for ICP-MS </w:t>
      </w:r>
      <w:r w:rsidRPr="00A07C71">
        <w:rPr>
          <w:rFonts w:ascii="Times" w:eastAsia="Times" w:hAnsi="Times" w:cs="Times New Roman"/>
          <w:sz w:val="24"/>
          <w:szCs w:val="20"/>
          <w:lang w:val="en-GB"/>
        </w:rPr>
        <w:t>were analysed at the School of Earth Sciences, University of Melbourne on an Agilent 7700x. The instrument was tuned to give Cerium oxide levels of &lt; 1%. 4 replicates of 100 scans per replicate were measured for each isotope. Dwell times were 10 milliseconds, except for Be, Cd, In, Sb, Ta, W, Tl, Bi, which were 30 milliseconds.  Long sample wash-out times of 6 minutes with solutions of 0.5</w:t>
      </w:r>
      <w:proofErr w:type="gramStart"/>
      <w:r w:rsidRPr="00A07C71">
        <w:rPr>
          <w:rFonts w:ascii="Times" w:eastAsia="Times" w:hAnsi="Times" w:cs="Times New Roman"/>
          <w:sz w:val="24"/>
          <w:szCs w:val="20"/>
          <w:lang w:val="en-GB"/>
        </w:rPr>
        <w:t>%  Triton</w:t>
      </w:r>
      <w:proofErr w:type="gramEnd"/>
      <w:r w:rsidRPr="00A07C71">
        <w:rPr>
          <w:rFonts w:ascii="Times" w:eastAsia="Times" w:hAnsi="Times" w:cs="Times New Roman"/>
          <w:sz w:val="24"/>
          <w:szCs w:val="20"/>
          <w:lang w:val="en-GB"/>
        </w:rPr>
        <w:t xml:space="preserve"> X-100, 0.025% HF in 5% HNO</w:t>
      </w:r>
      <w:r w:rsidRPr="00A07C71">
        <w:rPr>
          <w:rFonts w:ascii="Times" w:eastAsia="Times" w:hAnsi="Times" w:cs="Times New Roman"/>
          <w:sz w:val="24"/>
          <w:szCs w:val="20"/>
          <w:vertAlign w:val="subscript"/>
          <w:lang w:val="en-GB"/>
        </w:rPr>
        <w:t>3</w:t>
      </w:r>
      <w:r w:rsidRPr="00A07C71">
        <w:rPr>
          <w:rFonts w:ascii="Times" w:eastAsia="Times" w:hAnsi="Times" w:cs="Times New Roman"/>
          <w:sz w:val="24"/>
          <w:szCs w:val="20"/>
          <w:lang w:val="en-GB"/>
        </w:rPr>
        <w:t xml:space="preserve"> and 2% HNO</w:t>
      </w:r>
      <w:r w:rsidRPr="00A07C71">
        <w:rPr>
          <w:rFonts w:ascii="Times" w:eastAsia="Times" w:hAnsi="Times" w:cs="Times New Roman"/>
          <w:sz w:val="24"/>
          <w:szCs w:val="20"/>
          <w:vertAlign w:val="subscript"/>
          <w:lang w:val="en-GB"/>
        </w:rPr>
        <w:t>3</w:t>
      </w:r>
      <w:r w:rsidRPr="00A07C71">
        <w:rPr>
          <w:rFonts w:ascii="Times" w:eastAsia="Times" w:hAnsi="Times" w:cs="Times New Roman"/>
          <w:sz w:val="24"/>
          <w:szCs w:val="20"/>
          <w:lang w:val="en-GB"/>
        </w:rPr>
        <w:t xml:space="preserve"> and long sample uptake times of 120 seconds were used. Digests of USGS andesite standard AGV-2 and USGS basalt standard BHVO-2 were run as unknowns.</w:t>
      </w:r>
    </w:p>
    <w:p w:rsidR="00A07C71" w:rsidRPr="00A07C71" w:rsidRDefault="00A07C71" w:rsidP="00A07C71">
      <w:pPr>
        <w:spacing w:before="120" w:after="0" w:line="360" w:lineRule="auto"/>
        <w:rPr>
          <w:rFonts w:ascii="Times" w:eastAsia="Times" w:hAnsi="Times" w:cs="Times New Roman"/>
          <w:sz w:val="24"/>
          <w:szCs w:val="20"/>
          <w:lang w:val="en-GB"/>
        </w:rPr>
      </w:pPr>
    </w:p>
    <w:p w:rsidR="00A07C71" w:rsidRPr="00A07C71" w:rsidRDefault="00A07C71" w:rsidP="00A07C71">
      <w:pPr>
        <w:widowControl w:val="0"/>
        <w:autoSpaceDE w:val="0"/>
        <w:autoSpaceDN w:val="0"/>
        <w:adjustRightInd w:val="0"/>
        <w:spacing w:after="240" w:line="240" w:lineRule="auto"/>
        <w:rPr>
          <w:rFonts w:ascii="Times" w:eastAsia="Times New Roman" w:hAnsi="Times" w:cs="Times"/>
          <w:sz w:val="24"/>
          <w:szCs w:val="24"/>
          <w:lang w:val="en-US"/>
        </w:rPr>
      </w:pPr>
      <w:proofErr w:type="spellStart"/>
      <w:r w:rsidRPr="00A07C71">
        <w:rPr>
          <w:rFonts w:ascii="Times" w:eastAsia="Times New Roman" w:hAnsi="Times" w:cs="Times"/>
          <w:lang w:val="en-US"/>
        </w:rPr>
        <w:t>Eggins</w:t>
      </w:r>
      <w:proofErr w:type="spellEnd"/>
      <w:r w:rsidRPr="00A07C71">
        <w:rPr>
          <w:rFonts w:ascii="Times" w:eastAsia="Times New Roman" w:hAnsi="Times" w:cs="Times"/>
          <w:lang w:val="en-US"/>
        </w:rPr>
        <w:t xml:space="preserve"> S. M., Woodhead J. D., Kinsley L. P. J., Mortimer G. E., Sylvester P., McCulloch M. T., Hergt J. M. and Handler M. R. (1997) A simple method for the precise determination of &gt;=40 trace elements in geological samples by ICPMS using enriched isotope internal </w:t>
      </w:r>
      <w:proofErr w:type="spellStart"/>
      <w:r w:rsidRPr="00A07C71">
        <w:rPr>
          <w:rFonts w:ascii="Times" w:eastAsia="Times New Roman" w:hAnsi="Times" w:cs="Times"/>
          <w:lang w:val="en-US"/>
        </w:rPr>
        <w:t>standardisation</w:t>
      </w:r>
      <w:proofErr w:type="spellEnd"/>
      <w:r w:rsidRPr="00A07C71">
        <w:rPr>
          <w:rFonts w:ascii="Times" w:eastAsia="Times New Roman" w:hAnsi="Times" w:cs="Times"/>
          <w:lang w:val="en-US"/>
        </w:rPr>
        <w:t>. Chem. Geol. 134, 311–326.</w:t>
      </w:r>
    </w:p>
    <w:p w:rsidR="00A07C71" w:rsidRPr="00A07C71" w:rsidRDefault="00A07C71" w:rsidP="00A07C71">
      <w:pPr>
        <w:widowControl w:val="0"/>
        <w:autoSpaceDE w:val="0"/>
        <w:autoSpaceDN w:val="0"/>
        <w:adjustRightInd w:val="0"/>
        <w:spacing w:after="240" w:line="240" w:lineRule="auto"/>
        <w:rPr>
          <w:rFonts w:ascii="Times" w:eastAsia="Times New Roman" w:hAnsi="Times" w:cs="Times"/>
          <w:sz w:val="24"/>
          <w:szCs w:val="24"/>
          <w:lang w:val="en-US"/>
        </w:rPr>
      </w:pPr>
      <w:proofErr w:type="spellStart"/>
      <w:r w:rsidRPr="00A07C71">
        <w:rPr>
          <w:rFonts w:ascii="Times" w:eastAsia="Times New Roman" w:hAnsi="Times" w:cs="Times"/>
          <w:lang w:val="en-US"/>
        </w:rPr>
        <w:t>Kamber</w:t>
      </w:r>
      <w:proofErr w:type="spellEnd"/>
      <w:r w:rsidRPr="00A07C71">
        <w:rPr>
          <w:rFonts w:ascii="Times" w:eastAsia="Times New Roman" w:hAnsi="Times" w:cs="Times"/>
          <w:lang w:val="en-US"/>
        </w:rPr>
        <w:t xml:space="preserve"> B. S., Greig A., Schoenberg R. and </w:t>
      </w:r>
      <w:proofErr w:type="spellStart"/>
      <w:r w:rsidRPr="00A07C71">
        <w:rPr>
          <w:rFonts w:ascii="Times" w:eastAsia="Times New Roman" w:hAnsi="Times" w:cs="Times"/>
          <w:lang w:val="en-US"/>
        </w:rPr>
        <w:t>Collerson</w:t>
      </w:r>
      <w:proofErr w:type="spellEnd"/>
      <w:r w:rsidRPr="00A07C71">
        <w:rPr>
          <w:rFonts w:ascii="Times" w:eastAsia="Times New Roman" w:hAnsi="Times" w:cs="Times"/>
          <w:lang w:val="en-US"/>
        </w:rPr>
        <w:t xml:space="preserve"> K. D. (2003)</w:t>
      </w:r>
      <w:r w:rsidRPr="00A07C71">
        <w:rPr>
          <w:rFonts w:ascii="Times" w:eastAsia="Times New Roman" w:hAnsi="Times" w:cs="Times"/>
          <w:sz w:val="24"/>
          <w:szCs w:val="24"/>
          <w:lang w:val="en-US"/>
        </w:rPr>
        <w:t xml:space="preserve"> </w:t>
      </w:r>
      <w:r w:rsidRPr="00A07C71">
        <w:rPr>
          <w:rFonts w:ascii="Times" w:eastAsia="Times New Roman" w:hAnsi="Times" w:cs="Times"/>
          <w:lang w:val="en-US"/>
        </w:rPr>
        <w:t>A refined solution to Earth’s hidden niobium: implications for evolution of continental crust and mode of core formation. Precambrian Res. 126, 289–308.</w:t>
      </w:r>
    </w:p>
    <w:p w:rsidR="00A07C71" w:rsidRDefault="00A07C71" w:rsidP="0068209C">
      <w:proofErr w:type="spellStart"/>
      <w:proofErr w:type="gramStart"/>
      <w:r w:rsidRPr="00A07C71">
        <w:rPr>
          <w:rFonts w:ascii="Times" w:eastAsia="Times New Roman" w:hAnsi="Times" w:cs="Times"/>
          <w:lang w:val="en-US"/>
        </w:rPr>
        <w:lastRenderedPageBreak/>
        <w:t>Kamber</w:t>
      </w:r>
      <w:proofErr w:type="spellEnd"/>
      <w:r w:rsidRPr="00A07C71">
        <w:rPr>
          <w:rFonts w:ascii="Times" w:eastAsia="Times New Roman" w:hAnsi="Times" w:cs="Times"/>
          <w:lang w:val="en-US"/>
        </w:rPr>
        <w:t xml:space="preserve"> B. S., Greig A. and </w:t>
      </w:r>
      <w:proofErr w:type="spellStart"/>
      <w:r w:rsidRPr="00A07C71">
        <w:rPr>
          <w:rFonts w:ascii="Times" w:eastAsia="Times New Roman" w:hAnsi="Times" w:cs="Times"/>
          <w:lang w:val="en-US"/>
        </w:rPr>
        <w:t>Collerson</w:t>
      </w:r>
      <w:proofErr w:type="spellEnd"/>
      <w:r w:rsidRPr="00A07C71">
        <w:rPr>
          <w:rFonts w:ascii="Times" w:eastAsia="Times New Roman" w:hAnsi="Times" w:cs="Times"/>
          <w:lang w:val="en-US"/>
        </w:rPr>
        <w:t xml:space="preserve"> K. D. (2005) A new estimate for the composition of weathered young upper continental crust from alluvial sediments, Queensland, Australia.</w:t>
      </w:r>
      <w:proofErr w:type="gramEnd"/>
      <w:r w:rsidRPr="00A07C71">
        <w:rPr>
          <w:rFonts w:ascii="Times" w:eastAsia="Times New Roman" w:hAnsi="Times" w:cs="Times"/>
          <w:lang w:val="en-US"/>
        </w:rPr>
        <w:t xml:space="preserve"> </w:t>
      </w:r>
      <w:proofErr w:type="spellStart"/>
      <w:proofErr w:type="gramStart"/>
      <w:r w:rsidRPr="00A07C71">
        <w:rPr>
          <w:rFonts w:ascii="Times" w:eastAsia="Times New Roman" w:hAnsi="Times" w:cs="Times"/>
          <w:lang w:val="en-US"/>
        </w:rPr>
        <w:t>Geochim</w:t>
      </w:r>
      <w:proofErr w:type="spellEnd"/>
      <w:r w:rsidRPr="00A07C71">
        <w:rPr>
          <w:rFonts w:ascii="Times" w:eastAsia="Times New Roman" w:hAnsi="Times" w:cs="Times"/>
          <w:lang w:val="en-US"/>
        </w:rPr>
        <w:t>.</w:t>
      </w:r>
      <w:proofErr w:type="gramEnd"/>
      <w:r w:rsidRPr="00A07C71">
        <w:rPr>
          <w:rFonts w:ascii="Times" w:eastAsia="Times New Roman" w:hAnsi="Times" w:cs="Times"/>
          <w:lang w:val="en-US"/>
        </w:rPr>
        <w:t xml:space="preserve"> </w:t>
      </w:r>
      <w:proofErr w:type="spellStart"/>
      <w:proofErr w:type="gramStart"/>
      <w:r w:rsidRPr="00A07C71">
        <w:rPr>
          <w:rFonts w:ascii="Times" w:eastAsia="Times New Roman" w:hAnsi="Times" w:cs="Times"/>
          <w:lang w:val="en-US"/>
        </w:rPr>
        <w:t>Cosmochim</w:t>
      </w:r>
      <w:proofErr w:type="spellEnd"/>
      <w:r w:rsidRPr="00A07C71">
        <w:rPr>
          <w:rFonts w:ascii="Times" w:eastAsia="Times New Roman" w:hAnsi="Times" w:cs="Times"/>
          <w:lang w:val="en-US"/>
        </w:rPr>
        <w:t>.</w:t>
      </w:r>
      <w:proofErr w:type="gramEnd"/>
      <w:r w:rsidRPr="00A07C71">
        <w:rPr>
          <w:rFonts w:ascii="Times" w:eastAsia="Times New Roman" w:hAnsi="Times" w:cs="Times"/>
          <w:lang w:val="en-US"/>
        </w:rPr>
        <w:t xml:space="preserve"> </w:t>
      </w:r>
      <w:proofErr w:type="spellStart"/>
      <w:r w:rsidRPr="00A07C71">
        <w:rPr>
          <w:rFonts w:ascii="Times" w:eastAsia="Times New Roman" w:hAnsi="Times" w:cs="Times"/>
          <w:lang w:val="en-US"/>
        </w:rPr>
        <w:t>Acta</w:t>
      </w:r>
      <w:proofErr w:type="spellEnd"/>
      <w:r w:rsidRPr="00A07C71">
        <w:rPr>
          <w:rFonts w:ascii="Times" w:eastAsia="Times New Roman" w:hAnsi="Times" w:cs="Times"/>
          <w:lang w:val="en-US"/>
        </w:rPr>
        <w:t xml:space="preserve"> 69, 1041–1058.</w:t>
      </w:r>
    </w:p>
    <w:p w:rsidR="00A07C71" w:rsidRDefault="00A07C71" w:rsidP="0068209C"/>
    <w:p w:rsidR="00012A87" w:rsidRPr="00A07C71" w:rsidRDefault="001778EC" w:rsidP="0068209C">
      <w:r w:rsidRPr="00BC785E">
        <w:rPr>
          <w:b/>
          <w:bCs/>
        </w:rPr>
        <w:t>Table</w:t>
      </w:r>
      <w:r>
        <w:rPr>
          <w:b/>
          <w:bCs/>
        </w:rPr>
        <w:t xml:space="preserve">.5 Paranesti mineral assemblages </w:t>
      </w:r>
      <w:r w:rsidR="00A07C71">
        <w:rPr>
          <w:b/>
          <w:bCs/>
        </w:rPr>
        <w:t>(</w:t>
      </w:r>
      <w:r>
        <w:rPr>
          <w:b/>
          <w:bCs/>
        </w:rPr>
        <w:t>modal amount</w:t>
      </w:r>
      <w:r w:rsidR="00A07C71">
        <w:rPr>
          <w:b/>
          <w:bCs/>
        </w:rPr>
        <w:t>s determined using quantitative XRD)</w:t>
      </w:r>
    </w:p>
    <w:tbl>
      <w:tblPr>
        <w:tblStyle w:val="TableGrid"/>
        <w:tblW w:w="9889" w:type="dxa"/>
        <w:tblLook w:val="04A0" w:firstRow="1" w:lastRow="0" w:firstColumn="1" w:lastColumn="0" w:noHBand="0" w:noVBand="1"/>
      </w:tblPr>
      <w:tblGrid>
        <w:gridCol w:w="1668"/>
        <w:gridCol w:w="2835"/>
        <w:gridCol w:w="2835"/>
        <w:gridCol w:w="2551"/>
      </w:tblGrid>
      <w:tr w:rsidR="001778EC" w:rsidTr="00A07C71">
        <w:tc>
          <w:tcPr>
            <w:tcW w:w="1668" w:type="dxa"/>
          </w:tcPr>
          <w:p w:rsidR="001778EC" w:rsidRPr="001778EC" w:rsidRDefault="001778EC" w:rsidP="0068209C">
            <w:pPr>
              <w:rPr>
                <w:b/>
              </w:rPr>
            </w:pPr>
            <w:r w:rsidRPr="001778EC">
              <w:rPr>
                <w:b/>
              </w:rPr>
              <w:t>Mineral</w:t>
            </w:r>
          </w:p>
        </w:tc>
        <w:tc>
          <w:tcPr>
            <w:tcW w:w="2835" w:type="dxa"/>
          </w:tcPr>
          <w:p w:rsidR="001778EC" w:rsidRPr="001778EC" w:rsidRDefault="001778EC" w:rsidP="0068209C">
            <w:pPr>
              <w:rPr>
                <w:b/>
              </w:rPr>
            </w:pPr>
            <w:r w:rsidRPr="001778EC">
              <w:rPr>
                <w:b/>
              </w:rPr>
              <w:t>PAR-1 (corundum</w:t>
            </w:r>
            <w:r w:rsidR="00A07C71">
              <w:rPr>
                <w:b/>
              </w:rPr>
              <w:t>-</w:t>
            </w:r>
            <w:r w:rsidRPr="001778EC">
              <w:rPr>
                <w:b/>
              </w:rPr>
              <w:t>bearing)</w:t>
            </w:r>
          </w:p>
        </w:tc>
        <w:tc>
          <w:tcPr>
            <w:tcW w:w="2835" w:type="dxa"/>
          </w:tcPr>
          <w:p w:rsidR="001778EC" w:rsidRPr="001778EC" w:rsidRDefault="001778EC" w:rsidP="0068209C">
            <w:pPr>
              <w:rPr>
                <w:b/>
              </w:rPr>
            </w:pPr>
            <w:r w:rsidRPr="001778EC">
              <w:rPr>
                <w:b/>
              </w:rPr>
              <w:t>PAR-5 (corundum</w:t>
            </w:r>
            <w:r w:rsidR="00A07C71">
              <w:rPr>
                <w:b/>
              </w:rPr>
              <w:t>-</w:t>
            </w:r>
            <w:r w:rsidRPr="001778EC">
              <w:rPr>
                <w:b/>
              </w:rPr>
              <w:t>bearing)</w:t>
            </w:r>
          </w:p>
        </w:tc>
        <w:tc>
          <w:tcPr>
            <w:tcW w:w="2551" w:type="dxa"/>
          </w:tcPr>
          <w:p w:rsidR="001778EC" w:rsidRPr="001778EC" w:rsidRDefault="001778EC" w:rsidP="001778EC">
            <w:pPr>
              <w:rPr>
                <w:b/>
              </w:rPr>
            </w:pPr>
            <w:r w:rsidRPr="001778EC">
              <w:rPr>
                <w:b/>
              </w:rPr>
              <w:t xml:space="preserve">Non-corundum bearing </w:t>
            </w:r>
          </w:p>
        </w:tc>
      </w:tr>
      <w:tr w:rsidR="001778EC" w:rsidTr="00A07C71">
        <w:tc>
          <w:tcPr>
            <w:tcW w:w="1668" w:type="dxa"/>
          </w:tcPr>
          <w:p w:rsidR="001778EC" w:rsidRDefault="001778EC" w:rsidP="0068209C">
            <w:r>
              <w:t>Pargasite</w:t>
            </w:r>
          </w:p>
        </w:tc>
        <w:tc>
          <w:tcPr>
            <w:tcW w:w="2835" w:type="dxa"/>
          </w:tcPr>
          <w:p w:rsidR="001778EC" w:rsidRDefault="001778EC" w:rsidP="006A5241">
            <w:pPr>
              <w:jc w:val="center"/>
            </w:pPr>
            <w:r>
              <w:t>67.6% - 89.7%</w:t>
            </w:r>
          </w:p>
        </w:tc>
        <w:tc>
          <w:tcPr>
            <w:tcW w:w="2835" w:type="dxa"/>
          </w:tcPr>
          <w:p w:rsidR="001778EC" w:rsidRDefault="00FD106B" w:rsidP="006A5241">
            <w:pPr>
              <w:jc w:val="center"/>
            </w:pPr>
            <w:r>
              <w:t>47.1% - 78.5%</w:t>
            </w:r>
          </w:p>
        </w:tc>
        <w:tc>
          <w:tcPr>
            <w:tcW w:w="2551" w:type="dxa"/>
          </w:tcPr>
          <w:p w:rsidR="001778EC" w:rsidRDefault="00AA5493" w:rsidP="006A5241">
            <w:pPr>
              <w:jc w:val="center"/>
            </w:pPr>
            <w:r>
              <w:t>64.6% - 78.5%</w:t>
            </w:r>
          </w:p>
        </w:tc>
      </w:tr>
      <w:tr w:rsidR="001778EC" w:rsidTr="00A07C71">
        <w:tc>
          <w:tcPr>
            <w:tcW w:w="1668" w:type="dxa"/>
          </w:tcPr>
          <w:p w:rsidR="001778EC" w:rsidRDefault="001778EC" w:rsidP="0068209C">
            <w:r>
              <w:t>Corundum</w:t>
            </w:r>
          </w:p>
        </w:tc>
        <w:tc>
          <w:tcPr>
            <w:tcW w:w="2835" w:type="dxa"/>
          </w:tcPr>
          <w:p w:rsidR="001778EC" w:rsidRDefault="001778EC" w:rsidP="006A5241">
            <w:pPr>
              <w:jc w:val="center"/>
            </w:pPr>
            <w:r>
              <w:t>4.8% - 9.4%</w:t>
            </w:r>
          </w:p>
        </w:tc>
        <w:tc>
          <w:tcPr>
            <w:tcW w:w="2835" w:type="dxa"/>
          </w:tcPr>
          <w:p w:rsidR="001778EC" w:rsidRDefault="001649B6" w:rsidP="006A5241">
            <w:pPr>
              <w:jc w:val="center"/>
            </w:pPr>
            <w:r>
              <w:t>12.6% - 47.9%</w:t>
            </w:r>
          </w:p>
        </w:tc>
        <w:tc>
          <w:tcPr>
            <w:tcW w:w="2551" w:type="dxa"/>
          </w:tcPr>
          <w:p w:rsidR="001778EC" w:rsidRDefault="00AA5493" w:rsidP="006A5241">
            <w:pPr>
              <w:jc w:val="center"/>
            </w:pPr>
            <w:r>
              <w:t>-</w:t>
            </w:r>
          </w:p>
        </w:tc>
      </w:tr>
      <w:tr w:rsidR="001778EC" w:rsidTr="00A07C71">
        <w:tc>
          <w:tcPr>
            <w:tcW w:w="1668" w:type="dxa"/>
          </w:tcPr>
          <w:p w:rsidR="001778EC" w:rsidRDefault="001778EC" w:rsidP="005E43B1">
            <w:proofErr w:type="spellStart"/>
            <w:r>
              <w:t>C</w:t>
            </w:r>
            <w:r w:rsidR="005E43B1">
              <w:t>linochlore</w:t>
            </w:r>
            <w:proofErr w:type="spellEnd"/>
          </w:p>
        </w:tc>
        <w:tc>
          <w:tcPr>
            <w:tcW w:w="2835" w:type="dxa"/>
          </w:tcPr>
          <w:p w:rsidR="001778EC" w:rsidRDefault="001778EC" w:rsidP="006A5241">
            <w:pPr>
              <w:jc w:val="center"/>
            </w:pPr>
            <w:r>
              <w:t>0.3% - 3.1%</w:t>
            </w:r>
          </w:p>
        </w:tc>
        <w:tc>
          <w:tcPr>
            <w:tcW w:w="2835" w:type="dxa"/>
          </w:tcPr>
          <w:p w:rsidR="001778EC" w:rsidRDefault="00927A89" w:rsidP="006A5241">
            <w:pPr>
              <w:jc w:val="center"/>
            </w:pPr>
            <w:r>
              <w:t>1.8% - 4.6%</w:t>
            </w:r>
          </w:p>
        </w:tc>
        <w:tc>
          <w:tcPr>
            <w:tcW w:w="2551" w:type="dxa"/>
          </w:tcPr>
          <w:p w:rsidR="001778EC" w:rsidRDefault="00AA5493" w:rsidP="006A5241">
            <w:pPr>
              <w:jc w:val="center"/>
            </w:pPr>
            <w:r>
              <w:t>0% - 25.8%</w:t>
            </w:r>
          </w:p>
        </w:tc>
      </w:tr>
      <w:tr w:rsidR="001778EC" w:rsidTr="00A07C71">
        <w:tc>
          <w:tcPr>
            <w:tcW w:w="1668" w:type="dxa"/>
          </w:tcPr>
          <w:p w:rsidR="001778EC" w:rsidRDefault="001778EC" w:rsidP="0068209C">
            <w:r>
              <w:t>Monazite</w:t>
            </w:r>
          </w:p>
        </w:tc>
        <w:tc>
          <w:tcPr>
            <w:tcW w:w="2835" w:type="dxa"/>
          </w:tcPr>
          <w:p w:rsidR="001778EC" w:rsidRDefault="001778EC" w:rsidP="006A5241">
            <w:pPr>
              <w:jc w:val="center"/>
            </w:pPr>
            <w:r>
              <w:t>0% - 5.2%</w:t>
            </w:r>
          </w:p>
        </w:tc>
        <w:tc>
          <w:tcPr>
            <w:tcW w:w="2835" w:type="dxa"/>
          </w:tcPr>
          <w:p w:rsidR="001778EC" w:rsidRDefault="00927A89" w:rsidP="006A5241">
            <w:pPr>
              <w:jc w:val="center"/>
            </w:pPr>
            <w:r>
              <w:t>2% - 5.1%</w:t>
            </w:r>
          </w:p>
        </w:tc>
        <w:tc>
          <w:tcPr>
            <w:tcW w:w="2551" w:type="dxa"/>
          </w:tcPr>
          <w:p w:rsidR="001778EC" w:rsidRDefault="00AA5493" w:rsidP="006A5241">
            <w:pPr>
              <w:jc w:val="center"/>
            </w:pPr>
            <w:r>
              <w:t>0% - 11.2%</w:t>
            </w:r>
          </w:p>
        </w:tc>
      </w:tr>
      <w:tr w:rsidR="001778EC" w:rsidTr="00A07C71">
        <w:tc>
          <w:tcPr>
            <w:tcW w:w="1668" w:type="dxa"/>
          </w:tcPr>
          <w:p w:rsidR="001778EC" w:rsidRDefault="001778EC" w:rsidP="0068209C">
            <w:proofErr w:type="spellStart"/>
            <w:r>
              <w:t>Tremolite</w:t>
            </w:r>
            <w:proofErr w:type="spellEnd"/>
          </w:p>
        </w:tc>
        <w:tc>
          <w:tcPr>
            <w:tcW w:w="2835" w:type="dxa"/>
          </w:tcPr>
          <w:p w:rsidR="001778EC" w:rsidRDefault="001778EC" w:rsidP="006A5241">
            <w:pPr>
              <w:jc w:val="center"/>
            </w:pPr>
            <w:r>
              <w:t>0% - 20%</w:t>
            </w:r>
          </w:p>
        </w:tc>
        <w:tc>
          <w:tcPr>
            <w:tcW w:w="2835" w:type="dxa"/>
          </w:tcPr>
          <w:p w:rsidR="001778EC" w:rsidRDefault="006A5241" w:rsidP="006A5241">
            <w:pPr>
              <w:jc w:val="center"/>
            </w:pPr>
            <w:r>
              <w:t>-</w:t>
            </w:r>
          </w:p>
        </w:tc>
        <w:tc>
          <w:tcPr>
            <w:tcW w:w="2551" w:type="dxa"/>
          </w:tcPr>
          <w:p w:rsidR="001778EC" w:rsidRDefault="00BE0A7C" w:rsidP="006A5241">
            <w:pPr>
              <w:jc w:val="center"/>
            </w:pPr>
            <w:r>
              <w:t>-</w:t>
            </w:r>
          </w:p>
        </w:tc>
      </w:tr>
      <w:tr w:rsidR="006A5241" w:rsidTr="00A07C71">
        <w:tc>
          <w:tcPr>
            <w:tcW w:w="1668" w:type="dxa"/>
          </w:tcPr>
          <w:p w:rsidR="006A5241" w:rsidRDefault="006A5241" w:rsidP="0068209C">
            <w:r>
              <w:t>Margarite</w:t>
            </w:r>
          </w:p>
        </w:tc>
        <w:tc>
          <w:tcPr>
            <w:tcW w:w="2835" w:type="dxa"/>
          </w:tcPr>
          <w:p w:rsidR="006A5241" w:rsidRDefault="006A5241" w:rsidP="006A5241">
            <w:pPr>
              <w:jc w:val="center"/>
            </w:pPr>
            <w:r>
              <w:t>-</w:t>
            </w:r>
          </w:p>
        </w:tc>
        <w:tc>
          <w:tcPr>
            <w:tcW w:w="2835" w:type="dxa"/>
          </w:tcPr>
          <w:p w:rsidR="006A5241" w:rsidRDefault="006A5241" w:rsidP="006A5241">
            <w:pPr>
              <w:jc w:val="center"/>
            </w:pPr>
            <w:r>
              <w:t>0% - 4.5%</w:t>
            </w:r>
          </w:p>
        </w:tc>
        <w:tc>
          <w:tcPr>
            <w:tcW w:w="2551" w:type="dxa"/>
          </w:tcPr>
          <w:p w:rsidR="006A5241" w:rsidRDefault="00AA5493" w:rsidP="006A5241">
            <w:pPr>
              <w:jc w:val="center"/>
            </w:pPr>
            <w:r>
              <w:t>0% - 9.5%</w:t>
            </w:r>
          </w:p>
        </w:tc>
      </w:tr>
      <w:tr w:rsidR="006E17A1" w:rsidTr="00A07C71">
        <w:tc>
          <w:tcPr>
            <w:tcW w:w="1668" w:type="dxa"/>
          </w:tcPr>
          <w:p w:rsidR="006E17A1" w:rsidRDefault="00AA5493" w:rsidP="0068209C">
            <w:proofErr w:type="spellStart"/>
            <w:r>
              <w:t>Clinozoisite</w:t>
            </w:r>
            <w:proofErr w:type="spellEnd"/>
          </w:p>
        </w:tc>
        <w:tc>
          <w:tcPr>
            <w:tcW w:w="2835" w:type="dxa"/>
          </w:tcPr>
          <w:p w:rsidR="006E17A1" w:rsidRDefault="00AA5493" w:rsidP="006A5241">
            <w:pPr>
              <w:jc w:val="center"/>
            </w:pPr>
            <w:r>
              <w:t>-</w:t>
            </w:r>
          </w:p>
        </w:tc>
        <w:tc>
          <w:tcPr>
            <w:tcW w:w="2835" w:type="dxa"/>
          </w:tcPr>
          <w:p w:rsidR="006E17A1" w:rsidRDefault="00AA5493" w:rsidP="006A5241">
            <w:pPr>
              <w:jc w:val="center"/>
            </w:pPr>
            <w:r>
              <w:t>-</w:t>
            </w:r>
          </w:p>
        </w:tc>
        <w:tc>
          <w:tcPr>
            <w:tcW w:w="2551" w:type="dxa"/>
          </w:tcPr>
          <w:p w:rsidR="006E17A1" w:rsidRDefault="00AA5493" w:rsidP="006A5241">
            <w:pPr>
              <w:jc w:val="center"/>
            </w:pPr>
            <w:r>
              <w:t>0% - 7.8%</w:t>
            </w:r>
          </w:p>
        </w:tc>
      </w:tr>
      <w:tr w:rsidR="00A07C71" w:rsidTr="00A07C71">
        <w:tc>
          <w:tcPr>
            <w:tcW w:w="1668" w:type="dxa"/>
          </w:tcPr>
          <w:p w:rsidR="00A07C71" w:rsidRDefault="00A07C71" w:rsidP="0068209C">
            <w:proofErr w:type="spellStart"/>
            <w:r>
              <w:t>Anorthite</w:t>
            </w:r>
            <w:proofErr w:type="spellEnd"/>
          </w:p>
        </w:tc>
        <w:tc>
          <w:tcPr>
            <w:tcW w:w="2835" w:type="dxa"/>
          </w:tcPr>
          <w:p w:rsidR="00A07C71" w:rsidRDefault="00A07C71" w:rsidP="006A5241">
            <w:pPr>
              <w:jc w:val="center"/>
            </w:pPr>
            <w:r>
              <w:t>-</w:t>
            </w:r>
          </w:p>
        </w:tc>
        <w:tc>
          <w:tcPr>
            <w:tcW w:w="2835" w:type="dxa"/>
          </w:tcPr>
          <w:p w:rsidR="00A07C71" w:rsidRDefault="00A07C71" w:rsidP="006A5241">
            <w:pPr>
              <w:jc w:val="center"/>
            </w:pPr>
            <w:r>
              <w:t>-</w:t>
            </w:r>
          </w:p>
        </w:tc>
        <w:tc>
          <w:tcPr>
            <w:tcW w:w="2551" w:type="dxa"/>
          </w:tcPr>
          <w:p w:rsidR="00A07C71" w:rsidRDefault="00A07C71" w:rsidP="006A5241">
            <w:pPr>
              <w:jc w:val="center"/>
            </w:pPr>
            <w:r>
              <w:t>0% - 17.4%</w:t>
            </w:r>
            <w:bookmarkStart w:id="6" w:name="_GoBack"/>
            <w:bookmarkEnd w:id="6"/>
          </w:p>
        </w:tc>
      </w:tr>
    </w:tbl>
    <w:p w:rsidR="001778EC" w:rsidRDefault="001778EC" w:rsidP="0068209C"/>
    <w:sectPr w:rsidR="00177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E8"/>
    <w:rsid w:val="00012A87"/>
    <w:rsid w:val="001649B6"/>
    <w:rsid w:val="001778EC"/>
    <w:rsid w:val="002C77D0"/>
    <w:rsid w:val="0043330C"/>
    <w:rsid w:val="005900E8"/>
    <w:rsid w:val="005E43B1"/>
    <w:rsid w:val="0068209C"/>
    <w:rsid w:val="006A5241"/>
    <w:rsid w:val="006E17A1"/>
    <w:rsid w:val="007F50AB"/>
    <w:rsid w:val="00927A89"/>
    <w:rsid w:val="00A07C71"/>
    <w:rsid w:val="00AA5493"/>
    <w:rsid w:val="00BE0A7C"/>
    <w:rsid w:val="00CA316A"/>
    <w:rsid w:val="00D63FB3"/>
    <w:rsid w:val="00FC62CD"/>
    <w:rsid w:val="00FD10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09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9C"/>
    <w:rPr>
      <w:rFonts w:ascii="Tahoma" w:hAnsi="Tahoma" w:cs="Tahoma"/>
      <w:sz w:val="16"/>
      <w:szCs w:val="16"/>
    </w:rPr>
  </w:style>
  <w:style w:type="character" w:styleId="CommentReference">
    <w:name w:val="annotation reference"/>
    <w:basedOn w:val="DefaultParagraphFont"/>
    <w:uiPriority w:val="99"/>
    <w:semiHidden/>
    <w:rsid w:val="0043330C"/>
    <w:rPr>
      <w:rFonts w:cs="Times New Roman"/>
      <w:sz w:val="16"/>
      <w:szCs w:val="16"/>
    </w:rPr>
  </w:style>
  <w:style w:type="paragraph" w:styleId="CommentText">
    <w:name w:val="annotation text"/>
    <w:basedOn w:val="Normal"/>
    <w:link w:val="CommentTextChar"/>
    <w:uiPriority w:val="99"/>
    <w:semiHidden/>
    <w:rsid w:val="0043330C"/>
    <w:pPr>
      <w:spacing w:line="240" w:lineRule="auto"/>
    </w:pPr>
    <w:rPr>
      <w:rFonts w:ascii="Calibri" w:eastAsia="SimSun" w:hAnsi="Calibri" w:cs="Times New Roman"/>
      <w:sz w:val="20"/>
      <w:szCs w:val="20"/>
    </w:rPr>
  </w:style>
  <w:style w:type="character" w:customStyle="1" w:styleId="CommentTextChar">
    <w:name w:val="Comment Text Char"/>
    <w:basedOn w:val="DefaultParagraphFont"/>
    <w:link w:val="CommentText"/>
    <w:uiPriority w:val="99"/>
    <w:semiHidden/>
    <w:rsid w:val="0043330C"/>
    <w:rPr>
      <w:rFonts w:ascii="Calibri" w:eastAsia="SimSu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09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9C"/>
    <w:rPr>
      <w:rFonts w:ascii="Tahoma" w:hAnsi="Tahoma" w:cs="Tahoma"/>
      <w:sz w:val="16"/>
      <w:szCs w:val="16"/>
    </w:rPr>
  </w:style>
  <w:style w:type="character" w:styleId="CommentReference">
    <w:name w:val="annotation reference"/>
    <w:basedOn w:val="DefaultParagraphFont"/>
    <w:uiPriority w:val="99"/>
    <w:semiHidden/>
    <w:rsid w:val="0043330C"/>
    <w:rPr>
      <w:rFonts w:cs="Times New Roman"/>
      <w:sz w:val="16"/>
      <w:szCs w:val="16"/>
    </w:rPr>
  </w:style>
  <w:style w:type="paragraph" w:styleId="CommentText">
    <w:name w:val="annotation text"/>
    <w:basedOn w:val="Normal"/>
    <w:link w:val="CommentTextChar"/>
    <w:uiPriority w:val="99"/>
    <w:semiHidden/>
    <w:rsid w:val="0043330C"/>
    <w:pPr>
      <w:spacing w:line="240" w:lineRule="auto"/>
    </w:pPr>
    <w:rPr>
      <w:rFonts w:ascii="Calibri" w:eastAsia="SimSun" w:hAnsi="Calibri" w:cs="Times New Roman"/>
      <w:sz w:val="20"/>
      <w:szCs w:val="20"/>
    </w:rPr>
  </w:style>
  <w:style w:type="character" w:customStyle="1" w:styleId="CommentTextChar">
    <w:name w:val="Comment Text Char"/>
    <w:basedOn w:val="DefaultParagraphFont"/>
    <w:link w:val="CommentText"/>
    <w:uiPriority w:val="99"/>
    <w:semiHidden/>
    <w:rsid w:val="0043330C"/>
    <w:rPr>
      <w:rFonts w:ascii="Calibri" w:eastAsia="SimSu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70579">
      <w:bodyDiv w:val="1"/>
      <w:marLeft w:val="0"/>
      <w:marRight w:val="0"/>
      <w:marTop w:val="0"/>
      <w:marBottom w:val="0"/>
      <w:divBdr>
        <w:top w:val="none" w:sz="0" w:space="0" w:color="auto"/>
        <w:left w:val="none" w:sz="0" w:space="0" w:color="auto"/>
        <w:bottom w:val="none" w:sz="0" w:space="0" w:color="auto"/>
        <w:right w:val="none" w:sz="0" w:space="0" w:color="auto"/>
      </w:divBdr>
    </w:div>
    <w:div w:id="208051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Kandy Kan Wang</dc:creator>
  <cp:lastModifiedBy>Ian Graham</cp:lastModifiedBy>
  <cp:revision>2</cp:revision>
  <dcterms:created xsi:type="dcterms:W3CDTF">2017-06-09T07:01:00Z</dcterms:created>
  <dcterms:modified xsi:type="dcterms:W3CDTF">2017-06-09T07:01:00Z</dcterms:modified>
</cp:coreProperties>
</file>