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181A" w14:textId="33E55B26" w:rsidR="00030DE1" w:rsidRPr="00030DE1" w:rsidRDefault="00030DE1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Appendix</w:t>
      </w:r>
      <w:r w:rsidR="00E15913"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 </w:t>
      </w:r>
      <w:r w:rsidR="00E15913">
        <w:rPr>
          <w:rFonts w:ascii="Times New Roman" w:eastAsia="游明朝" w:hAnsi="Times New Roman" w:cs="Times New Roman"/>
          <w:kern w:val="0"/>
          <w:sz w:val="24"/>
          <w:szCs w:val="24"/>
        </w:rPr>
        <w:t>1</w:t>
      </w:r>
    </w:p>
    <w:p w14:paraId="11745BA4" w14:textId="77777777" w:rsidR="00030DE1" w:rsidRPr="00030DE1" w:rsidRDefault="00030DE1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游明朝" w:hAnsi="Times New Roman" w:cs="Times New Roman" w:hint="eastAsia"/>
          <w:kern w:val="0"/>
          <w:sz w:val="24"/>
          <w:szCs w:val="24"/>
        </w:rPr>
        <w:t>P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seudosection modeling</w:t>
      </w:r>
    </w:p>
    <w:p w14:paraId="37EC4CEA" w14:textId="77777777" w:rsidR="00030DE1" w:rsidRPr="00030DE1" w:rsidRDefault="00030DE1" w:rsidP="00030DE1">
      <w:pPr>
        <w:widowControl/>
        <w:spacing w:line="480" w:lineRule="auto"/>
        <w:ind w:firstLine="709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Equilibrium phase diagrams (</w:t>
      </w:r>
      <w:r w:rsidRPr="00030DE1">
        <w:rPr>
          <w:rFonts w:ascii="Times New Roman" w:eastAsia="游明朝" w:hAnsi="Times New Roman" w:cs="Times New Roman"/>
          <w:iCs/>
          <w:kern w:val="0"/>
          <w:sz w:val="24"/>
          <w:szCs w:val="24"/>
        </w:rPr>
        <w:t>pressure–temperature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pseudosections</w:t>
      </w:r>
      <w:proofErr w:type="spellEnd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) were computed in the system Na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O–K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O–</w:t>
      </w:r>
      <w:proofErr w:type="spellStart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CaO</w:t>
      </w:r>
      <w:proofErr w:type="spellEnd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–FeO–MgO–Al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3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– SiO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–H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 (NKCFMASH) for the bulk chemical composition of sample GE1501b with the following composition: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</w:t>
      </w:r>
      <w:proofErr w:type="gramStart"/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3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:FeO</w:t>
      </w:r>
      <w:proofErr w:type="gramEnd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:MgO:CaO:Na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O:K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 = 12.99:6.95:2.46:4.18:1.73:0.70 (Miyamoto </w:t>
      </w:r>
      <w:r w:rsidRPr="00030DE1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et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., 2007). The pseudosection was constructed by forward modeling using </w:t>
      </w:r>
      <w:proofErr w:type="spellStart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Perple_X</w:t>
      </w:r>
      <w:proofErr w:type="spellEnd"/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6.9.0 (Connolly, 1990) utilizing the internally consistent data set of Holland &amp; Powell (1998, updated 2002). The </w:t>
      </w:r>
      <w:r w:rsidRPr="00030DE1">
        <w:rPr>
          <w:rFonts w:ascii="Times New Roman" w:eastAsia="游明朝" w:hAnsi="Times New Roman" w:cs="Times New Roman"/>
          <w:iCs/>
          <w:kern w:val="0"/>
          <w:sz w:val="24"/>
          <w:szCs w:val="24"/>
        </w:rPr>
        <w:t xml:space="preserve">pressure–temperature 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pseudosection was calculated in the range of 1.2–3.0 GPa and 500–800 °C. SiO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H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O were calculated as excess phases. Sources of the selected solution models for the minerals in the pseudosection analysis are as follows: amphibole: Dale </w:t>
      </w:r>
      <w:r w:rsidRPr="00030DE1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et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 (2005); biotite: Powell &amp; Holland (1999); chlorite: Holland </w:t>
      </w:r>
      <w:r w:rsidRPr="00030DE1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et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 (1998); chloritoid: White </w:t>
      </w:r>
      <w:r w:rsidRPr="00030DE1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et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. (2000); garnet: Holland &amp; Powell (1998); phengite: [K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x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Na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1–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x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Mg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y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Fe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3–2(</w:t>
      </w:r>
      <w:proofErr w:type="spellStart"/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y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+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z</w:t>
      </w:r>
      <w:proofErr w:type="spellEnd"/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)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Si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3+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y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+</w:t>
      </w:r>
      <w:r w:rsidRPr="00030DE1">
        <w:rPr>
          <w:rFonts w:ascii="Times New Roman" w:eastAsia="游明朝" w:hAnsi="Times New Roman" w:cs="Times New Roman"/>
          <w:i/>
          <w:kern w:val="0"/>
          <w:sz w:val="24"/>
          <w:szCs w:val="24"/>
          <w:vertAlign w:val="subscript"/>
        </w:rPr>
        <w:t>z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O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10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(OH)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] parameters from THERMOCALC; pyroxene: Green </w:t>
      </w:r>
      <w:r w:rsidRPr="00030DE1"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et al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.</w:t>
      </w:r>
      <w:r w:rsidRPr="00030DE1"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 </w:t>
      </w: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t>(2007).</w:t>
      </w:r>
    </w:p>
    <w:p w14:paraId="7F4F7888" w14:textId="02E50F52" w:rsidR="00E15913" w:rsidRDefault="00E15913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288978BC" w14:textId="77777777" w:rsidR="00E15913" w:rsidRDefault="00E1591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br w:type="page"/>
      </w:r>
    </w:p>
    <w:p w14:paraId="14AE6F00" w14:textId="077A96A3" w:rsidR="00E15913" w:rsidRDefault="00E15913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lastRenderedPageBreak/>
        <w:t>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ppendix 2</w:t>
      </w:r>
    </w:p>
    <w:p w14:paraId="04F1AFDA" w14:textId="2A942247" w:rsidR="00E15913" w:rsidRDefault="00E15913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>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ll analytical data of point analysis</w:t>
      </w:r>
    </w:p>
    <w:p w14:paraId="0FF3BC23" w14:textId="59412612" w:rsidR="00E15913" w:rsidRDefault="00E15913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ab/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Point analysis data of 236 quartz inclusions after peak fitting is provided </w:t>
      </w:r>
      <w:r w:rsidR="00E902FC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in Appendix Table </w:t>
      </w:r>
      <w:r w:rsidR="00DF31A9">
        <w:rPr>
          <w:rFonts w:ascii="Times New Roman" w:eastAsia="游明朝" w:hAnsi="Times New Roman" w:cs="Times New Roman"/>
          <w:kern w:val="0"/>
          <w:sz w:val="24"/>
          <w:szCs w:val="24"/>
        </w:rPr>
        <w:t>1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 The first </w:t>
      </w:r>
      <w:r w:rsidR="00004A8C">
        <w:rPr>
          <w:rFonts w:ascii="Times New Roman" w:eastAsia="游明朝" w:hAnsi="Times New Roman" w:cs="Times New Roman"/>
          <w:kern w:val="0"/>
          <w:sz w:val="24"/>
          <w:szCs w:val="24"/>
        </w:rPr>
        <w:t>and second line is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 w:rsidR="00004A8C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title and 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heading. Column A is the inclusion ID, which is shown in the format of thin section </w:t>
      </w:r>
      <w:proofErr w:type="spellStart"/>
      <w:r w:rsidR="00AF78AA">
        <w:rPr>
          <w:rFonts w:ascii="Times New Roman" w:eastAsia="游明朝" w:hAnsi="Times New Roman" w:cs="Times New Roman"/>
          <w:kern w:val="0"/>
          <w:sz w:val="24"/>
          <w:szCs w:val="24"/>
        </w:rPr>
        <w:t>number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>_</w:t>
      </w:r>
      <w:r w:rsidR="00063418">
        <w:rPr>
          <w:rFonts w:ascii="Times New Roman" w:eastAsia="游明朝" w:hAnsi="Times New Roman" w:cs="Times New Roman"/>
          <w:kern w:val="0"/>
          <w:sz w:val="24"/>
          <w:szCs w:val="24"/>
        </w:rPr>
        <w:t>host</w:t>
      </w:r>
      <w:proofErr w:type="spellEnd"/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proofErr w:type="spellStart"/>
      <w:r w:rsidR="00E902FC">
        <w:rPr>
          <w:rFonts w:ascii="Times New Roman" w:eastAsia="游明朝" w:hAnsi="Times New Roman" w:cs="Times New Roman"/>
          <w:kern w:val="0"/>
          <w:sz w:val="24"/>
          <w:szCs w:val="24"/>
        </w:rPr>
        <w:t>number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>_inclusion</w:t>
      </w:r>
      <w:proofErr w:type="spellEnd"/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 w:rsidR="00E902FC">
        <w:rPr>
          <w:rFonts w:ascii="Times New Roman" w:eastAsia="游明朝" w:hAnsi="Times New Roman" w:cs="Times New Roman"/>
          <w:kern w:val="0"/>
          <w:sz w:val="24"/>
          <w:szCs w:val="24"/>
        </w:rPr>
        <w:t>number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. Column B, C, </w:t>
      </w:r>
      <w:r w:rsidR="007B7FB3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and </w:t>
      </w:r>
      <w:r w:rsidR="00F02440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D are </w:t>
      </w:r>
      <w:r w:rsidR="007B7FB3">
        <w:rPr>
          <w:rFonts w:ascii="Times New Roman" w:eastAsia="游明朝" w:hAnsi="Times New Roman" w:cs="Times New Roman"/>
          <w:kern w:val="0"/>
          <w:sz w:val="24"/>
          <w:szCs w:val="24"/>
        </w:rPr>
        <w:t>peak positions of standard quartz (cm</w:t>
      </w:r>
      <w:r w:rsidR="007B7FB3" w:rsidRPr="007B7FB3">
        <w:rPr>
          <w:rFonts w:ascii="Times New Roman" w:eastAsia="游明朝" w:hAnsi="Times New Roman" w:cs="Times New Roman"/>
          <w:kern w:val="0"/>
          <w:sz w:val="24"/>
          <w:szCs w:val="24"/>
          <w:vertAlign w:val="superscript"/>
        </w:rPr>
        <w:t>−1</w:t>
      </w:r>
      <w:r w:rsidR="007B7FB3">
        <w:rPr>
          <w:rFonts w:ascii="Times New Roman" w:eastAsia="游明朝" w:hAnsi="Times New Roman" w:cs="Times New Roman"/>
          <w:kern w:val="0"/>
          <w:sz w:val="24"/>
          <w:szCs w:val="24"/>
        </w:rPr>
        <w:t>) for each measurement day. Column E, F, and G are peak positions of sample</w:t>
      </w:r>
      <w:r w:rsidR="00E902FC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quartz</w:t>
      </w:r>
      <w:r w:rsidR="007B7FB3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(cm</w:t>
      </w:r>
      <w:r w:rsidR="007B7FB3" w:rsidRPr="007B7FB3">
        <w:rPr>
          <w:rFonts w:ascii="Times New Roman" w:eastAsia="游明朝" w:hAnsi="Times New Roman" w:cs="Times New Roman"/>
          <w:kern w:val="0"/>
          <w:sz w:val="24"/>
          <w:szCs w:val="24"/>
          <w:vertAlign w:val="superscript"/>
        </w:rPr>
        <w:t>−1</w:t>
      </w:r>
      <w:r w:rsidR="007B7FB3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). Column H to L are 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>indexes calculated from the difference of peak positions (cm</w:t>
      </w:r>
      <w:r w:rsidR="00075A76" w:rsidRPr="007B7FB3">
        <w:rPr>
          <w:rFonts w:ascii="Times New Roman" w:eastAsia="游明朝" w:hAnsi="Times New Roman" w:cs="Times New Roman"/>
          <w:kern w:val="0"/>
          <w:sz w:val="24"/>
          <w:szCs w:val="24"/>
          <w:vertAlign w:val="superscript"/>
        </w:rPr>
        <w:t>−1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>) between the standard and the sample.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Column M to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>P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are residual pressure values (GPa) determined using each index. 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definition of indexes and residual pressure calculation formula are given in “Quartz residual pressures”. 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Column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>Q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>R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are </w:t>
      </w:r>
      <w:r w:rsidR="00AF78AA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lengths of the </w:t>
      </w:r>
      <w:r w:rsidR="00075A76">
        <w:rPr>
          <w:rFonts w:ascii="Times New Roman" w:eastAsia="游明朝" w:hAnsi="Times New Roman" w:cs="Times New Roman" w:hint="eastAsia"/>
          <w:kern w:val="0"/>
          <w:sz w:val="24"/>
          <w:szCs w:val="24"/>
        </w:rPr>
        <w:t>m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>ajor and minor axes of inclusions (</w:t>
      </w:r>
      <w:r w:rsidR="00075A76" w:rsidRPr="00075A76">
        <w:rPr>
          <w:rFonts w:ascii="Symbol" w:eastAsia="游明朝" w:hAnsi="Symbol" w:cs="Times New Roman"/>
          <w:kern w:val="0"/>
          <w:sz w:val="24"/>
          <w:szCs w:val="24"/>
        </w:rPr>
        <w:t></w:t>
      </w:r>
      <w:r w:rsidR="00075A76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m).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Data for inclusions with complicated shapes are blank. 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>The calculated grainsize (</w:t>
      </w:r>
      <m:oMath>
        <m:rad>
          <m:radPr>
            <m:degHide m:val="1"/>
            <m:ctrlPr>
              <w:rPr>
                <w:rFonts w:ascii="Cambria Math" w:eastAsia="游明朝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游明朝" w:hAnsi="Cambria Math" w:cs="Times New Roman"/>
                <w:sz w:val="24"/>
                <w:szCs w:val="24"/>
              </w:rPr>
              <m:t>ab</m:t>
            </m:r>
          </m:e>
        </m:rad>
      </m:oMath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) and aspect ratio </w:t>
      </w:r>
      <w:r w:rsidR="001A198F">
        <w:rPr>
          <w:rFonts w:ascii="Times New Roman" w:eastAsia="游明朝" w:hAnsi="Times New Roman" w:cs="Times New Roman"/>
          <w:kern w:val="0"/>
          <w:sz w:val="24"/>
          <w:szCs w:val="24"/>
        </w:rPr>
        <w:t>(</w:t>
      </w:r>
      <w:r w:rsidR="001A198F" w:rsidRPr="00DC2432">
        <w:rPr>
          <w:rFonts w:ascii="Times New Roman" w:eastAsia="游明朝" w:hAnsi="Times New Roman" w:cs="Times New Roman"/>
          <w:i/>
          <w:iCs/>
          <w:sz w:val="24"/>
          <w:szCs w:val="24"/>
        </w:rPr>
        <w:t>b</w:t>
      </w:r>
      <w:r w:rsidR="001A198F" w:rsidRPr="00DC2432">
        <w:rPr>
          <w:rFonts w:ascii="Times New Roman" w:eastAsia="游明朝" w:hAnsi="Times New Roman" w:cs="Times New Roman"/>
          <w:sz w:val="24"/>
          <w:szCs w:val="24"/>
        </w:rPr>
        <w:t>/</w:t>
      </w:r>
      <w:r w:rsidR="001A198F" w:rsidRPr="00DC2432">
        <w:rPr>
          <w:rFonts w:ascii="Times New Roman" w:eastAsia="游明朝" w:hAnsi="Times New Roman" w:cs="Times New Roman"/>
          <w:i/>
          <w:iCs/>
          <w:sz w:val="24"/>
          <w:szCs w:val="24"/>
        </w:rPr>
        <w:t>a</w:t>
      </w:r>
      <w:r w:rsidR="001A198F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) 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are shown in column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>S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</w:t>
      </w:r>
      <w:r w:rsidR="004C3603">
        <w:rPr>
          <w:rFonts w:ascii="Times New Roman" w:eastAsia="游明朝" w:hAnsi="Times New Roman" w:cs="Times New Roman"/>
          <w:kern w:val="0"/>
          <w:sz w:val="24"/>
          <w:szCs w:val="24"/>
        </w:rPr>
        <w:t>T</w:t>
      </w:r>
      <w:r w:rsidR="00C71719">
        <w:rPr>
          <w:rFonts w:ascii="Times New Roman" w:eastAsia="游明朝" w:hAnsi="Times New Roman" w:cs="Times New Roman"/>
          <w:kern w:val="0"/>
          <w:sz w:val="24"/>
          <w:szCs w:val="24"/>
        </w:rPr>
        <w:t>, respectively.</w:t>
      </w:r>
    </w:p>
    <w:p w14:paraId="3AA45F58" w14:textId="77777777" w:rsidR="00E15913" w:rsidRDefault="00E15913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br w:type="page"/>
      </w:r>
    </w:p>
    <w:p w14:paraId="1431A137" w14:textId="77777777" w:rsidR="00030DE1" w:rsidRPr="00030DE1" w:rsidRDefault="00030DE1" w:rsidP="00030DE1">
      <w:pPr>
        <w:widowControl/>
        <w:spacing w:line="480" w:lineRule="auto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游明朝" w:hAnsi="Times New Roman" w:cs="Times New Roman"/>
          <w:kern w:val="0"/>
          <w:sz w:val="24"/>
          <w:szCs w:val="24"/>
        </w:rPr>
        <w:lastRenderedPageBreak/>
        <w:t>References</w:t>
      </w:r>
    </w:p>
    <w:p w14:paraId="4F026EFB" w14:textId="2E9B459E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Angel, R. J., Alvaro, M., </w:t>
      </w:r>
      <w:proofErr w:type="spellStart"/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Miletich</w:t>
      </w:r>
      <w:proofErr w:type="spellEnd"/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R.,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Nestola, F.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(2017) A simple and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generalised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P-T-V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EoS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for continuous phase transitions, implemented in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EoSFit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and applied to quartz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. </w:t>
      </w:r>
      <w:r w:rsidRPr="00030DE1">
        <w:rPr>
          <w:rFonts w:ascii="Times New Roman" w:eastAsia="ＭＳ 明朝" w:hAnsi="Times New Roman" w:cs="Times New Roman"/>
          <w:i/>
          <w:iCs/>
          <w:smallCaps/>
          <w:kern w:val="0"/>
          <w:sz w:val="24"/>
          <w:szCs w:val="24"/>
          <w:lang w:eastAsia="en-US"/>
        </w:rPr>
        <w:t>C</w:t>
      </w:r>
      <w:r w:rsidRPr="00030DE1">
        <w:rPr>
          <w:rFonts w:ascii="Times New Roman" w:eastAsia="ＭＳ 明朝" w:hAnsi="Times New Roman" w:cs="Times New Roman"/>
          <w:i/>
          <w:iCs/>
          <w:kern w:val="0"/>
          <w:sz w:val="24"/>
          <w:szCs w:val="24"/>
          <w:lang w:eastAsia="en-US"/>
        </w:rPr>
        <w:t>ontributions to Mineralogy and Petrology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bCs/>
          <w:smallCaps/>
          <w:kern w:val="0"/>
          <w:sz w:val="24"/>
          <w:szCs w:val="24"/>
          <w:lang w:eastAsia="en-US"/>
        </w:rPr>
        <w:t>172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, 1–15. </w:t>
      </w:r>
    </w:p>
    <w:p w14:paraId="2B686F46" w14:textId="088CD723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Connolly, J. A. D.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(1990)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M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ultivariable phase diagrams: An algorithm based on generalized thermodynamics.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American Journal of Science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290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666–718.</w:t>
      </w:r>
    </w:p>
    <w:p w14:paraId="60818CF8" w14:textId="0028F07E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Dale, J., Powell, R., White, R. W., Elmer, F. L.,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Holland, T. J. B.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(2005) A thermodynamic model for Ca-Na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clinoamphiboles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in Na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O-CaO-FeO-MgO-Al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-SiO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-H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O-O for petrological calculations.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Journal of Metamorphic Geology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23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771–791.</w:t>
      </w:r>
    </w:p>
    <w:p w14:paraId="6509FD4D" w14:textId="30416585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Green, E., Holland, T.,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Powell, R.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(2007) An order-disorder model for omphacitic pyroxenes in the system jadeite-diopside-hedenbergite-acmite, with applications to eclogitic rocks.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American Mineralogist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92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1181–1189.</w:t>
      </w:r>
    </w:p>
    <w:p w14:paraId="4B4772CD" w14:textId="3A434B8A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Holland, T. J. B.,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Powell, R.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(1998) An internally consistent thermodynamic data set for phases of petrological interest.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Journal of Metamorphic Geology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16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, 309–343. </w:t>
      </w:r>
    </w:p>
    <w:p w14:paraId="0F0BF7AB" w14:textId="63107024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Holland, T., Baker, J.,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Powell, R.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(1998) Mixing properties and activity-composition relationships of chlorites in the system MgO-FeO-Al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-SiO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-H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O.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European Journal of Mineralogy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10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395–406.</w:t>
      </w:r>
    </w:p>
    <w:p w14:paraId="592922C0" w14:textId="77777777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Miyamoto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, A.,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Enami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, M.,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Tsuboi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, M., 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Yokoyama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, K. (2007) Peak conditions of kyanite-bearing quartz eclogites in the Sanbagawa metamorphic belt, central Shikoku, Japan. </w:t>
      </w:r>
      <w:r w:rsidRPr="00030DE1">
        <w:rPr>
          <w:rFonts w:ascii="Times New Roman" w:eastAsia="ＭＳ 明朝" w:hAnsi="Times New Roman" w:cs="Times New Roman"/>
          <w:i/>
          <w:iCs/>
          <w:kern w:val="0"/>
          <w:sz w:val="24"/>
          <w:szCs w:val="24"/>
          <w:lang w:eastAsia="en-US"/>
        </w:rPr>
        <w:t>Journal of Mineralogical and Petrological Sciences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bCs/>
          <w:kern w:val="0"/>
          <w:sz w:val="24"/>
          <w:szCs w:val="24"/>
          <w:lang w:eastAsia="en-US"/>
        </w:rPr>
        <w:t>102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, 352–367.</w:t>
      </w:r>
    </w:p>
    <w:p w14:paraId="1A271278" w14:textId="5E2DAC5D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Powell, R.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&amp;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Holland, T.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(1999) Relating formulations of the thermodynamics of mineral solid solutions: Activity modeling of pyroxenes, amphiboles, and micas.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American Mineralogist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 xml:space="preserve"> 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>84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1–14.</w:t>
      </w:r>
    </w:p>
    <w:p w14:paraId="67FC3C97" w14:textId="1188A310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lastRenderedPageBreak/>
        <w:t xml:space="preserve">White, R. W., Powell, R., Holland, T., 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&amp;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Worley, B.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(2000) The effect of TiO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and Fe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on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metapelitic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 assemblages at greenschist and amphibolite facies conditions: mineral equilibria calculations in the system K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O–FeO–MgO–Al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–SiO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–H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O–TiO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–Fe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  <w:lang w:eastAsia="en-US"/>
        </w:rPr>
        <w:t>3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  <w:lang w:eastAsia="en-US"/>
        </w:rPr>
        <w:t>Journal of Metamorphic Geology</w:t>
      </w:r>
      <w:r w:rsidRPr="00030DE1">
        <w:rPr>
          <w:rFonts w:ascii="Times New Roman" w:eastAsia="ＭＳ 明朝" w:hAnsi="Times New Roman" w:cs="Times New Roman"/>
          <w:b/>
          <w:smallCaps/>
          <w:kern w:val="0"/>
          <w:sz w:val="24"/>
          <w:szCs w:val="24"/>
          <w:lang w:eastAsia="en-US"/>
        </w:rPr>
        <w:t xml:space="preserve"> 18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, 497–511.</w:t>
      </w:r>
    </w:p>
    <w:p w14:paraId="52AD5322" w14:textId="37247E56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</w:rPr>
        <w:t>Whitney, D. L. &amp; Evans, B. W.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(2010) Abbreviations for names of rock–forming minerals. </w:t>
      </w:r>
      <w:r w:rsidRPr="00030DE1">
        <w:rPr>
          <w:rFonts w:ascii="Times New Roman" w:eastAsia="ＭＳ 明朝" w:hAnsi="Times New Roman" w:cs="Times New Roman"/>
          <w:i/>
          <w:kern w:val="0"/>
          <w:sz w:val="24"/>
          <w:szCs w:val="24"/>
        </w:rPr>
        <w:t>American Mineralogist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030DE1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>95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, 185–187.</w:t>
      </w:r>
    </w:p>
    <w:p w14:paraId="5E5B16DE" w14:textId="77777777" w:rsidR="00030DE1" w:rsidRPr="00030DE1" w:rsidRDefault="00030DE1" w:rsidP="00030DE1">
      <w:pPr>
        <w:widowControl/>
        <w:spacing w:line="480" w:lineRule="auto"/>
        <w:ind w:left="720" w:hanging="720"/>
        <w:jc w:val="left"/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</w:pPr>
    </w:p>
    <w:p w14:paraId="0CE7B7C2" w14:textId="77777777" w:rsidR="00280542" w:rsidRDefault="00030DE1" w:rsidP="00030DE1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 xml:space="preserve">Appendix </w:t>
      </w:r>
      <w:r w:rsidRPr="00030DE1">
        <w:rPr>
          <w:rFonts w:ascii="Times New Roman" w:eastAsia="ＭＳ 明朝" w:hAnsi="Times New Roman" w:cs="Times New Roman"/>
          <w:smallCaps/>
          <w:kern w:val="0"/>
          <w:sz w:val="24"/>
          <w:szCs w:val="24"/>
          <w:lang w:eastAsia="en-US"/>
        </w:rPr>
        <w:t>Fig. 1</w:t>
      </w:r>
      <w:r w:rsidRPr="00030DE1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.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030DE1">
        <w:rPr>
          <w:rFonts w:ascii="Times New Roman" w:eastAsia="ＭＳ 明朝" w:hAnsi="Times New Roman" w:cs="Times New Roman"/>
          <w:iCs/>
          <w:kern w:val="0"/>
          <w:sz w:val="24"/>
          <w:szCs w:val="24"/>
        </w:rPr>
        <w:t>Pressure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lang w:eastAsia="en-US"/>
        </w:rPr>
        <w:t>–temperature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peseudosection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in NKCFMASH system, with excess SiO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and H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  <w:vertAlign w:val="subscript"/>
        </w:rPr>
        <w:t>2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O, of sample GE1501b.</w:t>
      </w:r>
      <w:r w:rsidR="001F5233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All area contains phengite and are not show in the figure. The stability field of kyanite is represented by the blue shade. Abbreviations for minerals follow Whitney &amp; Evans (2010): Ab, albite; Amp, amphibole;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Bt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biotite; Car, carpholite; Coe, coesite;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Cld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, chloritoid; Grt, garnet; Ky, kyanite; Lws,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lowsonite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; Omp, omphacite; </w:t>
      </w:r>
      <w:proofErr w:type="spellStart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Pg</w:t>
      </w:r>
      <w:proofErr w:type="spellEnd"/>
      <w:r w:rsidRPr="00030DE1">
        <w:rPr>
          <w:rFonts w:ascii="Times New Roman" w:eastAsia="ＭＳ 明朝" w:hAnsi="Times New Roman" w:cs="Times New Roman"/>
          <w:kern w:val="0"/>
          <w:sz w:val="24"/>
          <w:szCs w:val="24"/>
        </w:rPr>
        <w:t>, paragonite; Qz, quartz; Tlc, talc; Zo, zoisite.</w:t>
      </w:r>
    </w:p>
    <w:p w14:paraId="3D0E5366" w14:textId="2CA89EC0" w:rsidR="00280542" w:rsidRDefault="00280542" w:rsidP="00030DE1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5BDF09DC" w14:textId="0D457173" w:rsidR="00DF31A9" w:rsidRDefault="00DF31A9" w:rsidP="00030DE1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Appendix </w:t>
      </w:r>
      <w:r w:rsidRPr="00DC2432">
        <w:rPr>
          <w:rFonts w:ascii="Times New Roman" w:eastAsia="游明朝" w:hAnsi="Times New Roman" w:cs="Times New Roman"/>
          <w:smallCaps/>
          <w:sz w:val="24"/>
          <w:szCs w:val="24"/>
        </w:rPr>
        <w:t>Table</w:t>
      </w:r>
      <w:r w:rsidRPr="00DC2432">
        <w:rPr>
          <w:rFonts w:ascii="Times New Roman" w:eastAsia="游明朝" w:hAnsi="Times New Roman" w:cs="Times New Roman"/>
          <w:sz w:val="24"/>
          <w:szCs w:val="24"/>
        </w:rPr>
        <w:t xml:space="preserve"> 1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. Analytical dataset of point </w:t>
      </w:r>
      <w:r w:rsidR="00AF78AA">
        <w:rPr>
          <w:rFonts w:ascii="Times New Roman" w:eastAsia="ＭＳ 明朝" w:hAnsi="Times New Roman" w:cs="Times New Roman"/>
          <w:kern w:val="0"/>
          <w:sz w:val="24"/>
          <w:szCs w:val="24"/>
        </w:rPr>
        <w:t>analysis</w:t>
      </w:r>
      <w:r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. </w:t>
      </w:r>
      <w:r>
        <w:rPr>
          <w:rFonts w:ascii="Times New Roman" w:eastAsia="ＭＳ 明朝" w:hAnsi="Times New Roman" w:cs="Times New Roman"/>
          <w:kern w:val="0"/>
          <w:sz w:val="24"/>
          <w:szCs w:val="24"/>
        </w:rPr>
        <w:t>See the text of the Appendix for a detailed description of each column.</w:t>
      </w:r>
    </w:p>
    <w:p w14:paraId="3EB87EDF" w14:textId="77777777" w:rsidR="005425D2" w:rsidRPr="00280542" w:rsidRDefault="005425D2"/>
    <w:sectPr w:rsidR="005425D2" w:rsidRPr="00280542" w:rsidSect="00030DE1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200D" w14:textId="77777777" w:rsidR="00C43781" w:rsidRDefault="00C43781">
      <w:r>
        <w:separator/>
      </w:r>
    </w:p>
  </w:endnote>
  <w:endnote w:type="continuationSeparator" w:id="0">
    <w:p w14:paraId="4CAD004D" w14:textId="77777777" w:rsidR="00C43781" w:rsidRDefault="00C4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8017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FCAEBD" w14:textId="61326C40" w:rsidR="00143FF1" w:rsidRPr="00A0110F" w:rsidRDefault="00030DE1">
        <w:pPr>
          <w:pStyle w:val="a3"/>
          <w:jc w:val="center"/>
          <w:rPr>
            <w:rFonts w:ascii="Times New Roman" w:hAnsi="Times New Roman" w:cs="Times New Roman"/>
          </w:rPr>
        </w:pPr>
        <w:r w:rsidRPr="00A0110F">
          <w:rPr>
            <w:rFonts w:ascii="Times New Roman" w:hAnsi="Times New Roman" w:cs="Times New Roman"/>
          </w:rPr>
          <w:fldChar w:fldCharType="begin"/>
        </w:r>
        <w:r w:rsidRPr="0058757B">
          <w:rPr>
            <w:rFonts w:ascii="Times New Roman" w:hAnsi="Times New Roman" w:cs="Times New Roman"/>
          </w:rPr>
          <w:instrText>PAGE   \* MERGEFORMAT</w:instrText>
        </w:r>
        <w:r w:rsidRPr="00A0110F">
          <w:rPr>
            <w:rFonts w:ascii="Times New Roman" w:hAnsi="Times New Roman" w:cs="Times New Roman"/>
          </w:rPr>
          <w:fldChar w:fldCharType="separate"/>
        </w:r>
        <w:r w:rsidR="00AF78AA" w:rsidRPr="00AF78AA">
          <w:rPr>
            <w:rFonts w:ascii="Times New Roman" w:hAnsi="Times New Roman" w:cs="Times New Roman"/>
            <w:noProof/>
            <w:lang w:val="ja-JP" w:eastAsia="ja-JP"/>
          </w:rPr>
          <w:t>4</w:t>
        </w:r>
        <w:r w:rsidRPr="00A0110F">
          <w:rPr>
            <w:rFonts w:ascii="Times New Roman" w:hAnsi="Times New Roman" w:cs="Times New Roman"/>
          </w:rPr>
          <w:fldChar w:fldCharType="end"/>
        </w:r>
      </w:p>
    </w:sdtContent>
  </w:sdt>
  <w:p w14:paraId="02C84B47" w14:textId="77777777" w:rsidR="00143FF1" w:rsidRDefault="00C437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2FD6" w14:textId="77777777" w:rsidR="00C43781" w:rsidRDefault="00C43781">
      <w:r>
        <w:separator/>
      </w:r>
    </w:p>
  </w:footnote>
  <w:footnote w:type="continuationSeparator" w:id="0">
    <w:p w14:paraId="10F0E1DD" w14:textId="77777777" w:rsidR="00C43781" w:rsidRDefault="00C4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1"/>
    <w:rsid w:val="00004A8C"/>
    <w:rsid w:val="00030DE1"/>
    <w:rsid w:val="00063418"/>
    <w:rsid w:val="00075A76"/>
    <w:rsid w:val="001A198F"/>
    <w:rsid w:val="001F5233"/>
    <w:rsid w:val="00280542"/>
    <w:rsid w:val="00406B8E"/>
    <w:rsid w:val="004C3603"/>
    <w:rsid w:val="005425D2"/>
    <w:rsid w:val="006D6EA3"/>
    <w:rsid w:val="007B7FB3"/>
    <w:rsid w:val="00AF78AA"/>
    <w:rsid w:val="00C34CEC"/>
    <w:rsid w:val="00C43781"/>
    <w:rsid w:val="00C654E6"/>
    <w:rsid w:val="00C71719"/>
    <w:rsid w:val="00DF31A9"/>
    <w:rsid w:val="00E15913"/>
    <w:rsid w:val="00E902FC"/>
    <w:rsid w:val="00F02440"/>
    <w:rsid w:val="00F14382"/>
    <w:rsid w:val="00F7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0C9DC"/>
  <w15:chartTrackingRefBased/>
  <w15:docId w15:val="{5D10CC2F-84A0-4328-9AA0-2952069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0DE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val="en-CA" w:eastAsia="en-US"/>
    </w:rPr>
  </w:style>
  <w:style w:type="character" w:customStyle="1" w:styleId="a4">
    <w:name w:val="フッター (文字)"/>
    <w:basedOn w:val="a0"/>
    <w:link w:val="a3"/>
    <w:uiPriority w:val="99"/>
    <w:rsid w:val="00030DE1"/>
    <w:rPr>
      <w:kern w:val="0"/>
      <w:sz w:val="22"/>
      <w:lang w:val="en-CA" w:eastAsia="en-US"/>
    </w:rPr>
  </w:style>
  <w:style w:type="character" w:styleId="a5">
    <w:name w:val="line number"/>
    <w:basedOn w:val="a0"/>
    <w:uiPriority w:val="99"/>
    <w:semiHidden/>
    <w:unhideWhenUsed/>
    <w:rsid w:val="00030DE1"/>
  </w:style>
  <w:style w:type="paragraph" w:styleId="a6">
    <w:name w:val="header"/>
    <w:basedOn w:val="a"/>
    <w:link w:val="a7"/>
    <w:uiPriority w:val="99"/>
    <w:unhideWhenUsed/>
    <w:rsid w:val="001F5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優貴</dc:creator>
  <cp:keywords/>
  <dc:description/>
  <cp:lastModifiedBy>冨岡 優貴</cp:lastModifiedBy>
  <cp:revision>4</cp:revision>
  <dcterms:created xsi:type="dcterms:W3CDTF">2021-06-14T04:11:00Z</dcterms:created>
  <dcterms:modified xsi:type="dcterms:W3CDTF">2021-06-14T04:46:00Z</dcterms:modified>
</cp:coreProperties>
</file>